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62"/>
        <w:jc w:val="center"/>
        <w:rPr/>
      </w:pPr>
      <w:r>
        <w:t>Pattern of Hysterosalpingography Findings among Women Undergoing Infertility Evaluation in Enugu Metropolis, South-East Nigeria</w:t>
      </w:r>
    </w:p>
    <w:p>
      <w:pPr>
        <w:pStyle w:val="style0"/>
        <w:jc w:val="center"/>
        <w:rPr/>
      </w:pPr>
      <w:r>
        <w:rPr>
          <w:i/>
        </w:rPr>
        <w:t>Research article</w:t>
      </w:r>
    </w:p>
    <w:p>
      <w:pPr>
        <w:pStyle w:val="style0"/>
        <w:jc w:val="center"/>
        <w:rPr/>
      </w:pPr>
      <w:r>
        <w:t>Ugwuanyi Makuochukwu Samuel1, Ofoegbu Uzochukwu1, Iwa James2, Ojike Peter E.3</w:t>
      </w:r>
    </w:p>
    <w:p>
      <w:pPr>
        <w:pStyle w:val="style0"/>
        <w:rPr/>
      </w:pPr>
      <w:r>
        <w:t>1 Department of Radiography, School of Health Technology, Federal University of Technology Owerri, Imo State, Nigeria</w:t>
      </w:r>
    </w:p>
    <w:p>
      <w:pPr>
        <w:pStyle w:val="style0"/>
        <w:rPr/>
      </w:pPr>
      <w:r>
        <w:t>2 Department of Physics, Federal University of Technology Owerri, Imo State, Nigeria</w:t>
      </w:r>
    </w:p>
    <w:p>
      <w:pPr>
        <w:pStyle w:val="style0"/>
        <w:rPr/>
      </w:pPr>
      <w:r>
        <w:t>3 Radiology Department, Federal Teaching Hospital Owerri, Imo State, Nigeria</w:t>
      </w:r>
    </w:p>
    <w:p>
      <w:pPr>
        <w:pStyle w:val="style0"/>
        <w:rPr/>
      </w:pPr>
      <w:r>
        <w:t>Corresponding author: [</w:t>
      </w:r>
      <w:r>
        <w:rPr>
          <w:lang w:val="en-US"/>
        </w:rPr>
        <w:t>Ugwuanyi Makuochukwu Samuel</w:t>
      </w:r>
      <w:r>
        <w:t>,</w:t>
      </w:r>
      <w:r>
        <w:rPr>
          <w:lang w:val="en-US"/>
        </w:rPr>
        <w:t>PMB- 1526</w:t>
      </w:r>
      <w:r>
        <w:t xml:space="preserve"> , </w:t>
      </w:r>
      <w:r>
        <w:rPr>
          <w:lang w:val="en-US"/>
        </w:rPr>
        <w:t>makuochukwusamuel72@gmail.com</w:t>
      </w:r>
      <w:r>
        <w:t xml:space="preserve">, </w:t>
      </w:r>
      <w:r>
        <w:rPr>
          <w:lang w:val="en-US"/>
        </w:rPr>
        <w:t>08072747168</w:t>
      </w:r>
      <w:r>
        <w:t>]</w:t>
      </w:r>
    </w:p>
    <w:p>
      <w:pPr>
        <w:pStyle w:val="style0"/>
        <w:rPr/>
      </w:pPr>
      <w:r>
        <w:t>Running title: Hysterosalpingography findings in Enugu</w:t>
      </w:r>
    </w:p>
    <w:p>
      <w:pPr>
        <w:pStyle w:val="style1"/>
        <w:rPr/>
      </w:pPr>
      <w:r>
        <w:t>Highlights</w:t>
      </w:r>
    </w:p>
    <w:p>
      <w:pPr>
        <w:pStyle w:val="style48"/>
        <w:spacing w:lineRule="auto" w:line="360"/>
        <w:rPr/>
      </w:pPr>
      <w:r>
        <w:t>A retrospective review of 216 HSG records from Enugu, Nigeria, found a high burden of abnormal utero-tubal findings.</w:t>
      </w:r>
    </w:p>
    <w:p>
      <w:pPr>
        <w:pStyle w:val="style48"/>
        <w:spacing w:lineRule="auto" w:line="360"/>
        <w:rPr/>
      </w:pPr>
      <w:r>
        <w:t>Abnormal HSG results accounted for 78.2% of examinations; uterine leiomyoma, peritubal adhesions and tubal occlusion were the leading findings.</w:t>
      </w:r>
    </w:p>
    <w:p>
      <w:pPr>
        <w:pStyle w:val="style48"/>
        <w:spacing w:lineRule="auto" w:line="360"/>
        <w:rPr/>
      </w:pPr>
      <w:r>
        <w:t>Secondary infertility was the commonest clinical indication for HSG, supporting an important role for acquired reproductive tract disease.</w:t>
      </w:r>
    </w:p>
    <w:p>
      <w:pPr>
        <w:pStyle w:val="style48"/>
        <w:spacing w:lineRule="auto" w:line="360"/>
        <w:rPr/>
      </w:pPr>
      <w:r>
        <w:t>The findings reinforce the value of HSG as an accessible first-line tubal patency and uterine cavity test in resource-limited fertility care.</w:t>
      </w:r>
    </w:p>
    <w:p>
      <w:pPr>
        <w:pStyle w:val="style1"/>
        <w:rPr/>
      </w:pPr>
      <w:r>
        <w:t>Abstract</w:t>
      </w:r>
    </w:p>
    <w:p>
      <w:pPr>
        <w:pStyle w:val="style0"/>
        <w:rPr/>
      </w:pPr>
      <w:r>
        <w:t>Background: Hysterosalpingography (HSG) remains a widely available first-line imaging investigation for tubal patency and uterine cavity assessment in infertility work-up, particularly in settings where laparoscopy, hysteroscopy and contrast sonography are not universally available. Objective: To determine the pattern of HSG findings, age distribution and clinical indications among women undergoing HSG in Enugu metropolis, South-East Nigeria. Methods: This retrospective descriptive study reviewed 216 complete HSG reports from the Radiology Department of Good Shepherd Specialist Hospital, Uwani, Enugu, covering January 2024 to June 2026. Data on age, clinical indication and HSG findings were extracted into a structured sheet and summarized using frequencies, percentages, mean, standard deviation and 95% Wilson confidence intervals for key proportions. Results: The mean age was 35.8 +/- 5.7 years (range, 22-48 years), and the largest age group was 35-39 years (32.9%). Abnormal HSG findings were recorded in 169/216 women (78.2%; 95% CI, 72.3-83.2), while 47/216 (21.8%; 95% CI, 16.8-27.7) had normal studies. The commonest findings were uterine leiomyoma (26.4%; 95% CI, 21.0-32.6), peritubal adhesions (20.8%; 95% CI, 16.0-26.7) and tubal occlusion/blockage (13.0%; 95% CI, 9.1-18.1). Secondary infertility was the main indication for HSG (54.6%; 95% CI, 48.0-61.1), followed by primary infertility (35.2%; 95% CI, 29.1-41.8). Conclusion: Structural uterine and tubal abnormalities were common among women referred for HSG in this facility, with secondary infertility predominating. Earlier fertility evaluation, improved prevention and treatment of pelvic infections, and integrated management pathways for fibroids and tubal disease may reduce the burden of infertility in this setting.</w:t>
      </w:r>
    </w:p>
    <w:p>
      <w:pPr>
        <w:pStyle w:val="style0"/>
        <w:rPr/>
      </w:pPr>
      <w:r>
        <w:t>Keywords: hysterosalpingography; infertility; uterine leiomyoma; tubal occlusion; peritubal adhesions; Enugu; Nigeria</w:t>
      </w:r>
    </w:p>
    <w:p>
      <w:pPr>
        <w:pStyle w:val="style1"/>
        <w:rPr/>
      </w:pPr>
      <w:r>
        <w:t>1. Introduction</w:t>
      </w:r>
    </w:p>
    <w:p>
      <w:pPr>
        <w:pStyle w:val="style0"/>
        <w:rPr/>
      </w:pPr>
      <w:r>
        <w:t>Infertility is a major reproductive health condition with medical, psychosocial and economic consequences for individuals and couples. The World Health Organization (WHO) estimates that approximately one in six people of reproductive age experience infertility during their lifetime and emphasizes the need for accessible, affordable and quality fertility care [1,2]. The 2025 WHO infertility guideline further stresses evidence-based prevention, diagnosis and treatment, including the need to reduce inequities in access to fertility services [3].</w:t>
      </w:r>
    </w:p>
    <w:p>
      <w:pPr>
        <w:pStyle w:val="style0"/>
        <w:rPr/>
      </w:pPr>
      <w:r>
        <w:t>The diagnostic evaluation of infertility should be systematic, timely and cost-conscious, with initial emphasis on identifying common and treatable factors [4]. Tubal patency testing and uterine cavity assessment are central to the female infertility work-up because tubal disease, uterine cavity distortion, intrauterine adhesions and congenital uterine anomalies can directly impair conception or pregnancy maintenance [4-8]. Recent guideline and review literature continues to support HSG as a relevant first-line or early-line imaging test, even as sonographic alternatives such as hysterosalpingo-contrast sonography (HyCoSy) and hysterosalpingo-foam sonography (HyFoSy) expand in some settings [8-11].</w:t>
      </w:r>
    </w:p>
    <w:p>
      <w:pPr>
        <w:pStyle w:val="style0"/>
        <w:rPr/>
      </w:pPr>
      <w:r>
        <w:t>Hysterosalpingography involves transcervical instillation of iodinated contrast medium with radiographic or fluoroscopic visualization of the uterine cavity, fallopian tubes and peritoneal spillage [7,8]. Its strengths include wide availability, relative affordability, ability to assess uterine morphology and tubal patency in a single examination, and potential therapeutic tubal flushing effects in selected patients [10,12,13]. Its limitations include discomfort, radiation exposure, contrast reactions, infection risk, false proximal tubal obstruction due to spasm and limited evaluation of extra-tubal pelvic disease compared with laparoscopy [8,14-16].</w:t>
      </w:r>
    </w:p>
    <w:p>
      <w:pPr>
        <w:pStyle w:val="style0"/>
        <w:rPr/>
      </w:pPr>
      <w:r>
        <w:t>The role of HSG is particularly important in low- and middle-income settings where access to laparoscopy, hysteroscopy, HyCoSy/HyFoSy and assisted reproductive technology may be constrained by cost, equipment availability and specialized workforce limitations [15-22]. Nigerian studies have repeatedly documented high rates of abnormal HSG findings among women investigated for infertility, although the dominant abnormality varies by region and study population [15-24]. Tubal occlusion, hydrosalpinx and peritubal adhesions are commonly linked to pelvic inflammatory disease, post-abortal or postpartum infections and other acquired pelvic insults, while uterine leiomyomas and intrauterine adhesions contribute to uterine-factor infertility [15-25].</w:t>
      </w:r>
    </w:p>
    <w:p>
      <w:pPr>
        <w:pStyle w:val="style0"/>
        <w:rPr/>
      </w:pPr>
      <w:r>
        <w:t>Local data are necessary because HSG patterns are influenced by age at presentation, type of infertility, infection burden, referral practices, prior pelvic surgery and local access to reproductive health services [16-24]. In Enugu metropolis, published information on HSG patterns remains limited despite the continued use of HSG for infertility evaluation. This study therefore examined HSG records from Good Shepherd Specialist Hospital, Uwani, Enugu, to describe the distribution of findings, age profile and clinical indications among women undergoing HSG.</w:t>
      </w:r>
    </w:p>
    <w:p>
      <w:pPr>
        <w:pStyle w:val="style1"/>
        <w:rPr/>
      </w:pPr>
      <w:r>
        <w:t>2. Materials and methods</w:t>
      </w:r>
    </w:p>
    <w:p>
      <w:pPr>
        <w:pStyle w:val="style2"/>
        <w:rPr/>
      </w:pPr>
      <w:r>
        <w:t>2.1 Study design and setting</w:t>
      </w:r>
    </w:p>
    <w:p>
      <w:pPr>
        <w:pStyle w:val="style0"/>
        <w:rPr/>
      </w:pPr>
      <w:r>
        <w:t>This was a retrospective descriptive cross-sectional review of HSG records from the Radiology Department of Good Shepherd Specialist Hospital, Uwani, Enugu, Nigeria. The study period covered January 2024 to June 2026. The facility serves women referred from gynaecology and fertility clinics within Enugu metropolis and surrounding communities.</w:t>
      </w:r>
    </w:p>
    <w:p>
      <w:pPr>
        <w:pStyle w:val="style2"/>
        <w:rPr/>
      </w:pPr>
      <w:r>
        <w:t>2.2 Study population and eligibility</w:t>
      </w:r>
    </w:p>
    <w:p>
      <w:pPr>
        <w:pStyle w:val="style0"/>
        <w:rPr/>
      </w:pPr>
      <w:r>
        <w:t>The study population comprised women who underwent HSG for infertility-related or other gynaecological indications within the review period. Records were eligible if the HSG report contained complete information on age, indication and radiological findings. Incomplete, duplicated or unreadable records were excluded. A total of 216 complete records met the eligibility criteria and were included in the analysis.</w:t>
      </w:r>
    </w:p>
    <w:p>
      <w:pPr>
        <w:pStyle w:val="style2"/>
        <w:rPr/>
      </w:pPr>
      <w:r>
        <w:t>2.3 HSG procedure and reporting</w:t>
      </w:r>
    </w:p>
    <w:p>
      <w:pPr>
        <w:pStyle w:val="style0"/>
        <w:rPr/>
      </w:pPr>
      <w:r>
        <w:t>HSG was performed as part of routine clinical care. In standard practice, HSG is preferably scheduled during the early follicular phase after menstruation and before ovulation to reduce the risk of inadvertent pregnancy exposure [7,8]. Reports were interpreted by the attending radiology team using routine diagnostic categories, including normal study, uterine leiomyoma, peritubal adhesions, tubal occlusion/blockage, synechiae, hydrosalpinx, salpingitis isthmica nodosa, cervical incompetence and other findings.</w:t>
      </w:r>
    </w:p>
    <w:p>
      <w:pPr>
        <w:pStyle w:val="style2"/>
        <w:rPr/>
      </w:pPr>
      <w:r>
        <w:t>2.4 Data extraction and variables</w:t>
      </w:r>
    </w:p>
    <w:p>
      <w:pPr>
        <w:pStyle w:val="style0"/>
        <w:rPr/>
      </w:pPr>
      <w:r>
        <w:t>A structured data capture sheet was used to extract age, clinical indication for HSG and final HSG diagnosis from the radiology archive. Age was grouped as 20-24, 25-29, 30-34, 35-39, 40-44 and &gt;=45 years. HSG findings were summarized both by diagnostic category and by overall status (normal versus abnormal). Clinical indications were categorized as secondary infertility, primary infertility, subfertility, recurrent spontaneous abortion, amenorrhea and post-myomectomy assessment.</w:t>
      </w:r>
    </w:p>
    <w:p>
      <w:pPr>
        <w:pStyle w:val="style2"/>
        <w:rPr/>
      </w:pPr>
      <w:r>
        <w:t>2.5 Statistical analysis</w:t>
      </w:r>
    </w:p>
    <w:p>
      <w:pPr>
        <w:pStyle w:val="style0"/>
        <w:rPr/>
      </w:pPr>
      <w:r>
        <w:t>Data were analyzed using descriptive statistics. Categorical variables were summarized as frequencies and percentages, and age was summarized using mean, standard deviation, minimum and maximum values. To improve precision reporting, 95% Wilson confidence intervals were calculated for key proportions. The study is reported in line with the principles of transparent observational reporting recommended by the STROBE statement [35].</w:t>
      </w:r>
    </w:p>
    <w:p>
      <w:pPr>
        <w:pStyle w:val="style2"/>
        <w:rPr/>
      </w:pPr>
      <w:r>
        <w:t>2.6 Ethical considerations</w:t>
      </w:r>
    </w:p>
    <w:p>
      <w:pPr>
        <w:pStyle w:val="style0"/>
        <w:rPr/>
      </w:pPr>
      <w:r>
        <w:t>This manuscript is based on retrospective hospital records. Before journal submission, the authors should insert the institutional ethics approval or waiver number and confirm that data were de-identified before analysis. No patient names or direct identifiers should be included in the submitted dataset or supplementary material.</w:t>
      </w:r>
    </w:p>
    <w:p>
      <w:pPr>
        <w:pStyle w:val="style1"/>
        <w:rPr/>
      </w:pPr>
      <w:r>
        <w:t>3. Results</w:t>
      </w:r>
    </w:p>
    <w:p>
      <w:pPr>
        <w:pStyle w:val="style0"/>
        <w:rPr/>
      </w:pPr>
      <w:r>
        <w:t>A total of 216 eligible HSG records were retrieved and analyzed. The mean age of the women was 35.8 +/- 5.7 years, with ages ranging from 22 to 48 years. The largest proportion of patients was within 35-39 years (71/216, 32.9%), followed by 30-34 years (63/216, 29.2%).</w:t>
      </w:r>
    </w:p>
    <w:p>
      <w:pPr>
        <w:pStyle w:val="style0"/>
        <w:rPr/>
      </w:pPr>
      <w:r>
        <w:rPr>
          <w:b/>
        </w:rPr>
        <w:t>Table 1. Distribution of HSG findings among women undergoing HSG (N = 216).</w:t>
      </w:r>
    </w:p>
    <w:tbl>
      <w:tblPr>
        <w:tblStyle w:val="style154"/>
        <w:tblW w:w="0" w:type="auto"/>
        <w:jc w:val="center"/>
        <w:tblLook w:val="04A0" w:firstRow="1" w:lastRow="0" w:firstColumn="1" w:lastColumn="0" w:noHBand="0" w:noVBand="1"/>
      </w:tblPr>
      <w:tblGrid>
        <w:gridCol w:w="2340"/>
        <w:gridCol w:w="2340"/>
        <w:gridCol w:w="2340"/>
        <w:gridCol w:w="2340"/>
      </w:tblGrid>
      <w:tr>
        <w:trPr>
          <w:jc w:val="center"/>
        </w:trPr>
        <w:tc>
          <w:tcPr>
            <w:tcW w:w="2340" w:type="dxa"/>
            <w:tcBorders/>
            <w:vAlign w:val="center"/>
          </w:tcPr>
          <w:p>
            <w:pPr>
              <w:pStyle w:val="style0"/>
              <w:rPr/>
            </w:pPr>
            <w:r>
              <w:rPr>
                <w:rFonts w:ascii="Times New Roman" w:eastAsia="Times New Roman" w:hAnsi="Times New Roman"/>
                <w:b/>
                <w:sz w:val="20"/>
              </w:rPr>
              <w:t>HSG finding</w:t>
            </w:r>
          </w:p>
        </w:tc>
        <w:tc>
          <w:tcPr>
            <w:tcW w:w="2340" w:type="dxa"/>
            <w:tcBorders/>
            <w:vAlign w:val="center"/>
          </w:tcPr>
          <w:p>
            <w:pPr>
              <w:pStyle w:val="style0"/>
              <w:rPr/>
            </w:pPr>
            <w:r>
              <w:rPr>
                <w:rFonts w:ascii="Times New Roman" w:eastAsia="Times New Roman" w:hAnsi="Times New Roman"/>
                <w:b/>
                <w:sz w:val="20"/>
              </w:rPr>
              <w:t>Frequency</w:t>
            </w:r>
          </w:p>
        </w:tc>
        <w:tc>
          <w:tcPr>
            <w:tcW w:w="2340" w:type="dxa"/>
            <w:tcBorders/>
            <w:vAlign w:val="center"/>
          </w:tcPr>
          <w:p>
            <w:pPr>
              <w:pStyle w:val="style0"/>
              <w:rPr/>
            </w:pPr>
            <w:r>
              <w:rPr>
                <w:rFonts w:ascii="Times New Roman" w:eastAsia="Times New Roman" w:hAnsi="Times New Roman"/>
                <w:b/>
                <w:sz w:val="20"/>
              </w:rPr>
              <w:t>Percentage (%)</w:t>
            </w:r>
          </w:p>
        </w:tc>
        <w:tc>
          <w:tcPr>
            <w:tcW w:w="2340" w:type="dxa"/>
            <w:tcBorders/>
            <w:vAlign w:val="center"/>
          </w:tcPr>
          <w:p>
            <w:pPr>
              <w:pStyle w:val="style0"/>
              <w:rPr/>
            </w:pPr>
            <w:r>
              <w:rPr>
                <w:rFonts w:ascii="Times New Roman" w:eastAsia="Times New Roman" w:hAnsi="Times New Roman"/>
                <w:b/>
                <w:sz w:val="20"/>
              </w:rPr>
              <w:t>95% CI for percentage</w:t>
            </w:r>
          </w:p>
        </w:tc>
      </w:tr>
      <w:tr>
        <w:tblPrEx/>
        <w:trPr>
          <w:jc w:val="center"/>
        </w:trPr>
        <w:tc>
          <w:tcPr>
            <w:tcW w:w="2340" w:type="dxa"/>
            <w:tcBorders/>
            <w:vAlign w:val="center"/>
          </w:tcPr>
          <w:p>
            <w:pPr>
              <w:pStyle w:val="style0"/>
              <w:rPr/>
            </w:pPr>
            <w:r>
              <w:rPr>
                <w:rFonts w:ascii="Times New Roman" w:eastAsia="Times New Roman" w:hAnsi="Times New Roman"/>
                <w:sz w:val="20"/>
              </w:rPr>
              <w:t>Uterine leiomyoma</w:t>
            </w:r>
          </w:p>
        </w:tc>
        <w:tc>
          <w:tcPr>
            <w:tcW w:w="2340" w:type="dxa"/>
            <w:tcBorders/>
            <w:vAlign w:val="center"/>
          </w:tcPr>
          <w:p>
            <w:pPr>
              <w:pStyle w:val="style0"/>
              <w:rPr/>
            </w:pPr>
            <w:r>
              <w:rPr>
                <w:rFonts w:ascii="Times New Roman" w:eastAsia="Times New Roman" w:hAnsi="Times New Roman"/>
                <w:sz w:val="20"/>
              </w:rPr>
              <w:t>57</w:t>
            </w:r>
          </w:p>
        </w:tc>
        <w:tc>
          <w:tcPr>
            <w:tcW w:w="2340" w:type="dxa"/>
            <w:tcBorders/>
            <w:vAlign w:val="center"/>
          </w:tcPr>
          <w:p>
            <w:pPr>
              <w:pStyle w:val="style0"/>
              <w:rPr/>
            </w:pPr>
            <w:r>
              <w:rPr>
                <w:rFonts w:ascii="Times New Roman" w:eastAsia="Times New Roman" w:hAnsi="Times New Roman"/>
                <w:sz w:val="20"/>
              </w:rPr>
              <w:t>26.4</w:t>
            </w:r>
          </w:p>
        </w:tc>
        <w:tc>
          <w:tcPr>
            <w:tcW w:w="2340" w:type="dxa"/>
            <w:tcBorders/>
            <w:vAlign w:val="center"/>
          </w:tcPr>
          <w:p>
            <w:pPr>
              <w:pStyle w:val="style0"/>
              <w:rPr/>
            </w:pPr>
            <w:r>
              <w:rPr>
                <w:rFonts w:ascii="Times New Roman" w:eastAsia="Times New Roman" w:hAnsi="Times New Roman"/>
                <w:sz w:val="20"/>
              </w:rPr>
              <w:t>26.4% (21.0-32.6)</w:t>
            </w:r>
          </w:p>
        </w:tc>
      </w:tr>
      <w:tr>
        <w:tblPrEx/>
        <w:trPr>
          <w:jc w:val="center"/>
        </w:trPr>
        <w:tc>
          <w:tcPr>
            <w:tcW w:w="2340" w:type="dxa"/>
            <w:tcBorders/>
            <w:vAlign w:val="center"/>
          </w:tcPr>
          <w:p>
            <w:pPr>
              <w:pStyle w:val="style0"/>
              <w:rPr/>
            </w:pPr>
            <w:r>
              <w:rPr>
                <w:rFonts w:ascii="Times New Roman" w:eastAsia="Times New Roman" w:hAnsi="Times New Roman"/>
                <w:sz w:val="20"/>
              </w:rPr>
              <w:t>Normal study</w:t>
            </w:r>
          </w:p>
        </w:tc>
        <w:tc>
          <w:tcPr>
            <w:tcW w:w="2340" w:type="dxa"/>
            <w:tcBorders/>
            <w:vAlign w:val="center"/>
          </w:tcPr>
          <w:p>
            <w:pPr>
              <w:pStyle w:val="style0"/>
              <w:rPr/>
            </w:pPr>
            <w:r>
              <w:rPr>
                <w:rFonts w:ascii="Times New Roman" w:eastAsia="Times New Roman" w:hAnsi="Times New Roman"/>
                <w:sz w:val="20"/>
              </w:rPr>
              <w:t>47</w:t>
            </w:r>
          </w:p>
        </w:tc>
        <w:tc>
          <w:tcPr>
            <w:tcW w:w="2340" w:type="dxa"/>
            <w:tcBorders/>
            <w:vAlign w:val="center"/>
          </w:tcPr>
          <w:p>
            <w:pPr>
              <w:pStyle w:val="style0"/>
              <w:rPr/>
            </w:pPr>
            <w:r>
              <w:rPr>
                <w:rFonts w:ascii="Times New Roman" w:eastAsia="Times New Roman" w:hAnsi="Times New Roman"/>
                <w:sz w:val="20"/>
              </w:rPr>
              <w:t>21.8</w:t>
            </w:r>
          </w:p>
        </w:tc>
        <w:tc>
          <w:tcPr>
            <w:tcW w:w="2340" w:type="dxa"/>
            <w:tcBorders/>
            <w:vAlign w:val="center"/>
          </w:tcPr>
          <w:p>
            <w:pPr>
              <w:pStyle w:val="style0"/>
              <w:rPr/>
            </w:pPr>
            <w:r>
              <w:rPr>
                <w:rFonts w:ascii="Times New Roman" w:eastAsia="Times New Roman" w:hAnsi="Times New Roman"/>
                <w:sz w:val="20"/>
              </w:rPr>
              <w:t>21.8% (16.8-27.7)</w:t>
            </w:r>
          </w:p>
        </w:tc>
      </w:tr>
      <w:tr>
        <w:tblPrEx/>
        <w:trPr>
          <w:jc w:val="center"/>
        </w:trPr>
        <w:tc>
          <w:tcPr>
            <w:tcW w:w="2340" w:type="dxa"/>
            <w:tcBorders/>
            <w:vAlign w:val="center"/>
          </w:tcPr>
          <w:p>
            <w:pPr>
              <w:pStyle w:val="style0"/>
              <w:rPr/>
            </w:pPr>
            <w:r>
              <w:rPr>
                <w:rFonts w:ascii="Times New Roman" w:eastAsia="Times New Roman" w:hAnsi="Times New Roman"/>
                <w:sz w:val="20"/>
              </w:rPr>
              <w:t>Peritubal adhesions</w:t>
            </w:r>
          </w:p>
        </w:tc>
        <w:tc>
          <w:tcPr>
            <w:tcW w:w="2340" w:type="dxa"/>
            <w:tcBorders/>
            <w:vAlign w:val="center"/>
          </w:tcPr>
          <w:p>
            <w:pPr>
              <w:pStyle w:val="style0"/>
              <w:rPr/>
            </w:pPr>
            <w:r>
              <w:rPr>
                <w:rFonts w:ascii="Times New Roman" w:eastAsia="Times New Roman" w:hAnsi="Times New Roman"/>
                <w:sz w:val="20"/>
              </w:rPr>
              <w:t>45</w:t>
            </w:r>
          </w:p>
        </w:tc>
        <w:tc>
          <w:tcPr>
            <w:tcW w:w="2340" w:type="dxa"/>
            <w:tcBorders/>
            <w:vAlign w:val="center"/>
          </w:tcPr>
          <w:p>
            <w:pPr>
              <w:pStyle w:val="style0"/>
              <w:rPr/>
            </w:pPr>
            <w:r>
              <w:rPr>
                <w:rFonts w:ascii="Times New Roman" w:eastAsia="Times New Roman" w:hAnsi="Times New Roman"/>
                <w:sz w:val="20"/>
              </w:rPr>
              <w:t>20.8</w:t>
            </w:r>
          </w:p>
        </w:tc>
        <w:tc>
          <w:tcPr>
            <w:tcW w:w="2340" w:type="dxa"/>
            <w:tcBorders/>
            <w:vAlign w:val="center"/>
          </w:tcPr>
          <w:p>
            <w:pPr>
              <w:pStyle w:val="style0"/>
              <w:rPr/>
            </w:pPr>
            <w:r>
              <w:rPr>
                <w:rFonts w:ascii="Times New Roman" w:eastAsia="Times New Roman" w:hAnsi="Times New Roman"/>
                <w:sz w:val="20"/>
              </w:rPr>
              <w:t>20.8% (16.0-26.7)</w:t>
            </w:r>
          </w:p>
        </w:tc>
      </w:tr>
      <w:tr>
        <w:tblPrEx/>
        <w:trPr>
          <w:jc w:val="center"/>
        </w:trPr>
        <w:tc>
          <w:tcPr>
            <w:tcW w:w="2340" w:type="dxa"/>
            <w:tcBorders/>
            <w:vAlign w:val="center"/>
          </w:tcPr>
          <w:p>
            <w:pPr>
              <w:pStyle w:val="style0"/>
              <w:rPr/>
            </w:pPr>
            <w:r>
              <w:rPr>
                <w:rFonts w:ascii="Times New Roman" w:eastAsia="Times New Roman" w:hAnsi="Times New Roman"/>
                <w:sz w:val="20"/>
              </w:rPr>
              <w:t>Tubal occlusion/blockage</w:t>
            </w:r>
          </w:p>
        </w:tc>
        <w:tc>
          <w:tcPr>
            <w:tcW w:w="2340" w:type="dxa"/>
            <w:tcBorders/>
            <w:vAlign w:val="center"/>
          </w:tcPr>
          <w:p>
            <w:pPr>
              <w:pStyle w:val="style0"/>
              <w:rPr/>
            </w:pPr>
            <w:r>
              <w:rPr>
                <w:rFonts w:ascii="Times New Roman" w:eastAsia="Times New Roman" w:hAnsi="Times New Roman"/>
                <w:sz w:val="20"/>
              </w:rPr>
              <w:t>28</w:t>
            </w:r>
          </w:p>
        </w:tc>
        <w:tc>
          <w:tcPr>
            <w:tcW w:w="2340" w:type="dxa"/>
            <w:tcBorders/>
            <w:vAlign w:val="center"/>
          </w:tcPr>
          <w:p>
            <w:pPr>
              <w:pStyle w:val="style0"/>
              <w:rPr/>
            </w:pPr>
            <w:r>
              <w:rPr>
                <w:rFonts w:ascii="Times New Roman" w:eastAsia="Times New Roman" w:hAnsi="Times New Roman"/>
                <w:sz w:val="20"/>
              </w:rPr>
              <w:t>13.0</w:t>
            </w:r>
          </w:p>
        </w:tc>
        <w:tc>
          <w:tcPr>
            <w:tcW w:w="2340" w:type="dxa"/>
            <w:tcBorders/>
            <w:vAlign w:val="center"/>
          </w:tcPr>
          <w:p>
            <w:pPr>
              <w:pStyle w:val="style0"/>
              <w:rPr/>
            </w:pPr>
            <w:r>
              <w:rPr>
                <w:rFonts w:ascii="Times New Roman" w:eastAsia="Times New Roman" w:hAnsi="Times New Roman"/>
                <w:sz w:val="20"/>
              </w:rPr>
              <w:t>13.0% (9.1-18.1)</w:t>
            </w:r>
          </w:p>
        </w:tc>
      </w:tr>
      <w:tr>
        <w:tblPrEx/>
        <w:trPr>
          <w:jc w:val="center"/>
        </w:trPr>
        <w:tc>
          <w:tcPr>
            <w:tcW w:w="2340" w:type="dxa"/>
            <w:tcBorders/>
            <w:vAlign w:val="center"/>
          </w:tcPr>
          <w:p>
            <w:pPr>
              <w:pStyle w:val="style0"/>
              <w:rPr/>
            </w:pPr>
            <w:r>
              <w:rPr>
                <w:rFonts w:ascii="Times New Roman" w:eastAsia="Times New Roman" w:hAnsi="Times New Roman"/>
                <w:sz w:val="20"/>
              </w:rPr>
              <w:t>Synechiae (uterine/cervical)</w:t>
            </w:r>
          </w:p>
        </w:tc>
        <w:tc>
          <w:tcPr>
            <w:tcW w:w="2340" w:type="dxa"/>
            <w:tcBorders/>
            <w:vAlign w:val="center"/>
          </w:tcPr>
          <w:p>
            <w:pPr>
              <w:pStyle w:val="style0"/>
              <w:rPr/>
            </w:pPr>
            <w:r>
              <w:rPr>
                <w:rFonts w:ascii="Times New Roman" w:eastAsia="Times New Roman" w:hAnsi="Times New Roman"/>
                <w:sz w:val="20"/>
              </w:rPr>
              <w:t>13</w:t>
            </w:r>
          </w:p>
        </w:tc>
        <w:tc>
          <w:tcPr>
            <w:tcW w:w="2340" w:type="dxa"/>
            <w:tcBorders/>
            <w:vAlign w:val="center"/>
          </w:tcPr>
          <w:p>
            <w:pPr>
              <w:pStyle w:val="style0"/>
              <w:rPr/>
            </w:pPr>
            <w:r>
              <w:rPr>
                <w:rFonts w:ascii="Times New Roman" w:eastAsia="Times New Roman" w:hAnsi="Times New Roman"/>
                <w:sz w:val="20"/>
              </w:rPr>
              <w:t>6.0</w:t>
            </w:r>
          </w:p>
        </w:tc>
        <w:tc>
          <w:tcPr>
            <w:tcW w:w="2340" w:type="dxa"/>
            <w:tcBorders/>
            <w:vAlign w:val="center"/>
          </w:tcPr>
          <w:p>
            <w:pPr>
              <w:pStyle w:val="style0"/>
              <w:rPr/>
            </w:pPr>
            <w:r>
              <w:rPr>
                <w:rFonts w:ascii="Times New Roman" w:eastAsia="Times New Roman" w:hAnsi="Times New Roman"/>
                <w:sz w:val="20"/>
              </w:rPr>
              <w:t>6.0% (3.6-10.0)</w:t>
            </w:r>
          </w:p>
        </w:tc>
      </w:tr>
      <w:tr>
        <w:tblPrEx/>
        <w:trPr>
          <w:jc w:val="center"/>
        </w:trPr>
        <w:tc>
          <w:tcPr>
            <w:tcW w:w="2340" w:type="dxa"/>
            <w:tcBorders/>
            <w:vAlign w:val="center"/>
          </w:tcPr>
          <w:p>
            <w:pPr>
              <w:pStyle w:val="style0"/>
              <w:rPr/>
            </w:pPr>
            <w:r>
              <w:rPr>
                <w:rFonts w:ascii="Times New Roman" w:eastAsia="Times New Roman" w:hAnsi="Times New Roman"/>
                <w:sz w:val="20"/>
              </w:rPr>
              <w:t>Hydrosalpinx</w:t>
            </w:r>
          </w:p>
        </w:tc>
        <w:tc>
          <w:tcPr>
            <w:tcW w:w="2340" w:type="dxa"/>
            <w:tcBorders/>
            <w:vAlign w:val="center"/>
          </w:tcPr>
          <w:p>
            <w:pPr>
              <w:pStyle w:val="style0"/>
              <w:rPr/>
            </w:pPr>
            <w:r>
              <w:rPr>
                <w:rFonts w:ascii="Times New Roman" w:eastAsia="Times New Roman" w:hAnsi="Times New Roman"/>
                <w:sz w:val="20"/>
              </w:rPr>
              <w:t>10</w:t>
            </w:r>
          </w:p>
        </w:tc>
        <w:tc>
          <w:tcPr>
            <w:tcW w:w="2340" w:type="dxa"/>
            <w:tcBorders/>
            <w:vAlign w:val="center"/>
          </w:tcPr>
          <w:p>
            <w:pPr>
              <w:pStyle w:val="style0"/>
              <w:rPr/>
            </w:pPr>
            <w:r>
              <w:rPr>
                <w:rFonts w:ascii="Times New Roman" w:eastAsia="Times New Roman" w:hAnsi="Times New Roman"/>
                <w:sz w:val="20"/>
              </w:rPr>
              <w:t>4.6</w:t>
            </w:r>
          </w:p>
        </w:tc>
        <w:tc>
          <w:tcPr>
            <w:tcW w:w="2340" w:type="dxa"/>
            <w:tcBorders/>
            <w:vAlign w:val="center"/>
          </w:tcPr>
          <w:p>
            <w:pPr>
              <w:pStyle w:val="style0"/>
              <w:rPr/>
            </w:pPr>
            <w:r>
              <w:rPr>
                <w:rFonts w:ascii="Times New Roman" w:eastAsia="Times New Roman" w:hAnsi="Times New Roman"/>
                <w:sz w:val="20"/>
              </w:rPr>
              <w:t>4.6% (2.5-8.3)</w:t>
            </w:r>
          </w:p>
        </w:tc>
      </w:tr>
      <w:tr>
        <w:tblPrEx/>
        <w:trPr>
          <w:jc w:val="center"/>
        </w:trPr>
        <w:tc>
          <w:tcPr>
            <w:tcW w:w="2340" w:type="dxa"/>
            <w:tcBorders/>
            <w:vAlign w:val="center"/>
          </w:tcPr>
          <w:p>
            <w:pPr>
              <w:pStyle w:val="style0"/>
              <w:rPr/>
            </w:pPr>
            <w:r>
              <w:rPr>
                <w:rFonts w:ascii="Times New Roman" w:eastAsia="Times New Roman" w:hAnsi="Times New Roman"/>
                <w:sz w:val="20"/>
              </w:rPr>
              <w:t>Other findings</w:t>
            </w:r>
          </w:p>
        </w:tc>
        <w:tc>
          <w:tcPr>
            <w:tcW w:w="2340" w:type="dxa"/>
            <w:tcBorders/>
            <w:vAlign w:val="center"/>
          </w:tcPr>
          <w:p>
            <w:pPr>
              <w:pStyle w:val="style0"/>
              <w:rPr/>
            </w:pPr>
            <w:r>
              <w:rPr>
                <w:rFonts w:ascii="Times New Roman" w:eastAsia="Times New Roman" w:hAnsi="Times New Roman"/>
                <w:sz w:val="20"/>
              </w:rPr>
              <w:t>9</w:t>
            </w:r>
          </w:p>
        </w:tc>
        <w:tc>
          <w:tcPr>
            <w:tcW w:w="2340" w:type="dxa"/>
            <w:tcBorders/>
            <w:vAlign w:val="center"/>
          </w:tcPr>
          <w:p>
            <w:pPr>
              <w:pStyle w:val="style0"/>
              <w:rPr/>
            </w:pPr>
            <w:r>
              <w:rPr>
                <w:rFonts w:ascii="Times New Roman" w:eastAsia="Times New Roman" w:hAnsi="Times New Roman"/>
                <w:sz w:val="20"/>
              </w:rPr>
              <w:t>4.2</w:t>
            </w:r>
          </w:p>
        </w:tc>
        <w:tc>
          <w:tcPr>
            <w:tcW w:w="2340" w:type="dxa"/>
            <w:tcBorders/>
            <w:vAlign w:val="center"/>
          </w:tcPr>
          <w:p>
            <w:pPr>
              <w:pStyle w:val="style0"/>
              <w:rPr/>
            </w:pPr>
            <w:r>
              <w:rPr>
                <w:rFonts w:ascii="Times New Roman" w:eastAsia="Times New Roman" w:hAnsi="Times New Roman"/>
                <w:sz w:val="20"/>
              </w:rPr>
              <w:t>4.2% (2.2-7.7)</w:t>
            </w:r>
          </w:p>
        </w:tc>
      </w:tr>
      <w:tr>
        <w:tblPrEx/>
        <w:trPr>
          <w:jc w:val="center"/>
        </w:trPr>
        <w:tc>
          <w:tcPr>
            <w:tcW w:w="2340" w:type="dxa"/>
            <w:tcBorders/>
            <w:vAlign w:val="center"/>
          </w:tcPr>
          <w:p>
            <w:pPr>
              <w:pStyle w:val="style0"/>
              <w:rPr/>
            </w:pPr>
            <w:r>
              <w:rPr>
                <w:rFonts w:ascii="Times New Roman" w:eastAsia="Times New Roman" w:hAnsi="Times New Roman"/>
                <w:sz w:val="20"/>
              </w:rPr>
              <w:t>Salpingitis isthmica nodosa</w:t>
            </w:r>
          </w:p>
        </w:tc>
        <w:tc>
          <w:tcPr>
            <w:tcW w:w="2340" w:type="dxa"/>
            <w:tcBorders/>
            <w:vAlign w:val="center"/>
          </w:tcPr>
          <w:p>
            <w:pPr>
              <w:pStyle w:val="style0"/>
              <w:rPr/>
            </w:pPr>
            <w:r>
              <w:rPr>
                <w:rFonts w:ascii="Times New Roman" w:eastAsia="Times New Roman" w:hAnsi="Times New Roman"/>
                <w:sz w:val="20"/>
              </w:rPr>
              <w:t>6</w:t>
            </w:r>
          </w:p>
        </w:tc>
        <w:tc>
          <w:tcPr>
            <w:tcW w:w="2340" w:type="dxa"/>
            <w:tcBorders/>
            <w:vAlign w:val="center"/>
          </w:tcPr>
          <w:p>
            <w:pPr>
              <w:pStyle w:val="style0"/>
              <w:rPr/>
            </w:pPr>
            <w:r>
              <w:rPr>
                <w:rFonts w:ascii="Times New Roman" w:eastAsia="Times New Roman" w:hAnsi="Times New Roman"/>
                <w:sz w:val="20"/>
              </w:rPr>
              <w:t>2.8</w:t>
            </w:r>
          </w:p>
        </w:tc>
        <w:tc>
          <w:tcPr>
            <w:tcW w:w="2340" w:type="dxa"/>
            <w:tcBorders/>
            <w:vAlign w:val="center"/>
          </w:tcPr>
          <w:p>
            <w:pPr>
              <w:pStyle w:val="style0"/>
              <w:rPr/>
            </w:pPr>
            <w:r>
              <w:rPr>
                <w:rFonts w:ascii="Times New Roman" w:eastAsia="Times New Roman" w:hAnsi="Times New Roman"/>
                <w:sz w:val="20"/>
              </w:rPr>
              <w:t>2.8% (1.3-5.9)</w:t>
            </w:r>
          </w:p>
        </w:tc>
      </w:tr>
      <w:tr>
        <w:tblPrEx/>
        <w:trPr>
          <w:jc w:val="center"/>
        </w:trPr>
        <w:tc>
          <w:tcPr>
            <w:tcW w:w="2340" w:type="dxa"/>
            <w:tcBorders/>
            <w:vAlign w:val="center"/>
          </w:tcPr>
          <w:p>
            <w:pPr>
              <w:pStyle w:val="style0"/>
              <w:rPr/>
            </w:pPr>
            <w:r>
              <w:rPr>
                <w:rFonts w:ascii="Times New Roman" w:eastAsia="Times New Roman" w:hAnsi="Times New Roman"/>
                <w:sz w:val="20"/>
              </w:rPr>
              <w:t>Cervical incompetence</w:t>
            </w:r>
          </w:p>
        </w:tc>
        <w:tc>
          <w:tcPr>
            <w:tcW w:w="2340" w:type="dxa"/>
            <w:tcBorders/>
            <w:vAlign w:val="center"/>
          </w:tcPr>
          <w:p>
            <w:pPr>
              <w:pStyle w:val="style0"/>
              <w:rPr/>
            </w:pPr>
            <w:r>
              <w:rPr>
                <w:rFonts w:ascii="Times New Roman" w:eastAsia="Times New Roman" w:hAnsi="Times New Roman"/>
                <w:sz w:val="20"/>
              </w:rPr>
              <w:t>1</w:t>
            </w:r>
          </w:p>
        </w:tc>
        <w:tc>
          <w:tcPr>
            <w:tcW w:w="2340" w:type="dxa"/>
            <w:tcBorders/>
            <w:vAlign w:val="center"/>
          </w:tcPr>
          <w:p>
            <w:pPr>
              <w:pStyle w:val="style0"/>
              <w:rPr/>
            </w:pPr>
            <w:r>
              <w:rPr>
                <w:rFonts w:ascii="Times New Roman" w:eastAsia="Times New Roman" w:hAnsi="Times New Roman"/>
                <w:sz w:val="20"/>
              </w:rPr>
              <w:t>0.5</w:t>
            </w:r>
          </w:p>
        </w:tc>
        <w:tc>
          <w:tcPr>
            <w:tcW w:w="2340" w:type="dxa"/>
            <w:tcBorders/>
            <w:vAlign w:val="center"/>
          </w:tcPr>
          <w:p>
            <w:pPr>
              <w:pStyle w:val="style0"/>
              <w:rPr/>
            </w:pPr>
            <w:r>
              <w:rPr>
                <w:rFonts w:ascii="Times New Roman" w:eastAsia="Times New Roman" w:hAnsi="Times New Roman"/>
                <w:sz w:val="20"/>
              </w:rPr>
              <w:t>0.5% (0.1-2.6)</w:t>
            </w:r>
          </w:p>
        </w:tc>
      </w:tr>
      <w:tr>
        <w:tblPrEx/>
        <w:trPr>
          <w:jc w:val="center"/>
        </w:trPr>
        <w:tc>
          <w:tcPr>
            <w:tcW w:w="2340" w:type="dxa"/>
            <w:tcBorders/>
            <w:vAlign w:val="center"/>
          </w:tcPr>
          <w:p>
            <w:pPr>
              <w:pStyle w:val="style0"/>
              <w:rPr/>
            </w:pPr>
            <w:r>
              <w:rPr>
                <w:rFonts w:ascii="Times New Roman" w:eastAsia="Times New Roman" w:hAnsi="Times New Roman"/>
                <w:sz w:val="20"/>
              </w:rPr>
              <w:t>Total</w:t>
            </w:r>
          </w:p>
        </w:tc>
        <w:tc>
          <w:tcPr>
            <w:tcW w:w="2340" w:type="dxa"/>
            <w:tcBorders/>
            <w:vAlign w:val="center"/>
          </w:tcPr>
          <w:p>
            <w:pPr>
              <w:pStyle w:val="style0"/>
              <w:rPr/>
            </w:pPr>
            <w:r>
              <w:rPr>
                <w:rFonts w:ascii="Times New Roman" w:eastAsia="Times New Roman" w:hAnsi="Times New Roman"/>
                <w:sz w:val="20"/>
              </w:rPr>
              <w:t>216</w:t>
            </w:r>
          </w:p>
        </w:tc>
        <w:tc>
          <w:tcPr>
            <w:tcW w:w="2340" w:type="dxa"/>
            <w:tcBorders/>
            <w:vAlign w:val="center"/>
          </w:tcPr>
          <w:p>
            <w:pPr>
              <w:pStyle w:val="style0"/>
              <w:rPr/>
            </w:pPr>
            <w:r>
              <w:rPr>
                <w:rFonts w:ascii="Times New Roman" w:eastAsia="Times New Roman" w:hAnsi="Times New Roman"/>
                <w:sz w:val="20"/>
              </w:rPr>
              <w:t>100.0</w:t>
            </w:r>
          </w:p>
        </w:tc>
        <w:tc>
          <w:tcPr>
            <w:tcW w:w="2340" w:type="dxa"/>
            <w:tcBorders/>
            <w:vAlign w:val="center"/>
          </w:tcPr>
          <w:p>
            <w:pPr>
              <w:pStyle w:val="style0"/>
              <w:rPr/>
            </w:pPr>
            <w:r>
              <w:rPr>
                <w:rFonts w:ascii="Times New Roman" w:eastAsia="Times New Roman" w:hAnsi="Times New Roman"/>
                <w:sz w:val="20"/>
              </w:rPr>
              <w:t>-</w:t>
            </w:r>
          </w:p>
        </w:tc>
      </w:tr>
    </w:tbl>
    <w:p>
      <w:pPr>
        <w:pStyle w:val="style0"/>
        <w:rPr/>
      </w:pPr>
      <w:r>
        <w:rPr>
          <w:i/>
        </w:rPr>
        <w:t xml:space="preserve">Note. </w:t>
      </w:r>
      <w:r>
        <w:rPr>
          <w:i/>
        </w:rPr>
        <w:t>Percentages may not sum exactly because of rounding. Diagnostic categories reflect the dominant finding recorded in each report.</w:t>
      </w:r>
    </w:p>
    <w:p>
      <w:pPr>
        <w:pStyle w:val="style0"/>
        <w:rPr/>
      </w:pPr>
      <w:r>
        <w:t>Uterine leiomyoma was the commonest recorded finding (26.4%), followed by peritubal adhesions (20.8%) and tubal occlusion/blockage (13.0%). Normal HSG studies accounted for 21.8% of cases.</w:t>
      </w:r>
    </w:p>
    <w:p>
      <w:pPr>
        <w:pStyle w:val="style0"/>
        <w:rPr/>
      </w:pPr>
      <w:r>
        <w:rPr>
          <w:b/>
        </w:rPr>
        <w:t>Table 2. Clinical indications for HSG (N = 216).</w:t>
      </w:r>
    </w:p>
    <w:tbl>
      <w:tblPr>
        <w:tblStyle w:val="style154"/>
        <w:tblW w:w="0" w:type="auto"/>
        <w:jc w:val="center"/>
        <w:tblLook w:val="04A0" w:firstRow="1" w:lastRow="0" w:firstColumn="1" w:lastColumn="0" w:noHBand="0" w:noVBand="1"/>
      </w:tblPr>
      <w:tblGrid>
        <w:gridCol w:w="2340"/>
        <w:gridCol w:w="2340"/>
        <w:gridCol w:w="2340"/>
        <w:gridCol w:w="2340"/>
      </w:tblGrid>
      <w:tr>
        <w:trPr>
          <w:jc w:val="center"/>
        </w:trPr>
        <w:tc>
          <w:tcPr>
            <w:tcW w:w="2340" w:type="dxa"/>
            <w:tcBorders/>
            <w:vAlign w:val="center"/>
          </w:tcPr>
          <w:p>
            <w:pPr>
              <w:pStyle w:val="style0"/>
              <w:rPr/>
            </w:pPr>
            <w:r>
              <w:rPr>
                <w:rFonts w:ascii="Times New Roman" w:eastAsia="Times New Roman" w:hAnsi="Times New Roman"/>
                <w:b/>
                <w:sz w:val="20"/>
              </w:rPr>
              <w:t>Indication</w:t>
            </w:r>
          </w:p>
        </w:tc>
        <w:tc>
          <w:tcPr>
            <w:tcW w:w="2340" w:type="dxa"/>
            <w:tcBorders/>
            <w:vAlign w:val="center"/>
          </w:tcPr>
          <w:p>
            <w:pPr>
              <w:pStyle w:val="style0"/>
              <w:rPr/>
            </w:pPr>
            <w:r>
              <w:rPr>
                <w:rFonts w:ascii="Times New Roman" w:eastAsia="Times New Roman" w:hAnsi="Times New Roman"/>
                <w:b/>
                <w:sz w:val="20"/>
              </w:rPr>
              <w:t>Frequency</w:t>
            </w:r>
          </w:p>
        </w:tc>
        <w:tc>
          <w:tcPr>
            <w:tcW w:w="2340" w:type="dxa"/>
            <w:tcBorders/>
            <w:vAlign w:val="center"/>
          </w:tcPr>
          <w:p>
            <w:pPr>
              <w:pStyle w:val="style0"/>
              <w:rPr/>
            </w:pPr>
            <w:r>
              <w:rPr>
                <w:rFonts w:ascii="Times New Roman" w:eastAsia="Times New Roman" w:hAnsi="Times New Roman"/>
                <w:b/>
                <w:sz w:val="20"/>
              </w:rPr>
              <w:t>Percentage (%)</w:t>
            </w:r>
          </w:p>
        </w:tc>
        <w:tc>
          <w:tcPr>
            <w:tcW w:w="2340" w:type="dxa"/>
            <w:tcBorders/>
            <w:vAlign w:val="center"/>
          </w:tcPr>
          <w:p>
            <w:pPr>
              <w:pStyle w:val="style0"/>
              <w:rPr/>
            </w:pPr>
            <w:r>
              <w:rPr>
                <w:rFonts w:ascii="Times New Roman" w:eastAsia="Times New Roman" w:hAnsi="Times New Roman"/>
                <w:b/>
                <w:sz w:val="20"/>
              </w:rPr>
              <w:t>95% CI for percentage</w:t>
            </w:r>
          </w:p>
        </w:tc>
      </w:tr>
      <w:tr>
        <w:tblPrEx/>
        <w:trPr>
          <w:jc w:val="center"/>
        </w:trPr>
        <w:tc>
          <w:tcPr>
            <w:tcW w:w="2340" w:type="dxa"/>
            <w:tcBorders/>
            <w:vAlign w:val="center"/>
          </w:tcPr>
          <w:p>
            <w:pPr>
              <w:pStyle w:val="style0"/>
              <w:rPr/>
            </w:pPr>
            <w:r>
              <w:rPr>
                <w:rFonts w:ascii="Times New Roman" w:eastAsia="Times New Roman" w:hAnsi="Times New Roman"/>
                <w:sz w:val="20"/>
              </w:rPr>
              <w:t>Secondary infertility</w:t>
            </w:r>
          </w:p>
        </w:tc>
        <w:tc>
          <w:tcPr>
            <w:tcW w:w="2340" w:type="dxa"/>
            <w:tcBorders/>
            <w:vAlign w:val="center"/>
          </w:tcPr>
          <w:p>
            <w:pPr>
              <w:pStyle w:val="style0"/>
              <w:rPr/>
            </w:pPr>
            <w:r>
              <w:rPr>
                <w:rFonts w:ascii="Times New Roman" w:eastAsia="Times New Roman" w:hAnsi="Times New Roman"/>
                <w:sz w:val="20"/>
              </w:rPr>
              <w:t>118</w:t>
            </w:r>
          </w:p>
        </w:tc>
        <w:tc>
          <w:tcPr>
            <w:tcW w:w="2340" w:type="dxa"/>
            <w:tcBorders/>
            <w:vAlign w:val="center"/>
          </w:tcPr>
          <w:p>
            <w:pPr>
              <w:pStyle w:val="style0"/>
              <w:rPr/>
            </w:pPr>
            <w:r>
              <w:rPr>
                <w:rFonts w:ascii="Times New Roman" w:eastAsia="Times New Roman" w:hAnsi="Times New Roman"/>
                <w:sz w:val="20"/>
              </w:rPr>
              <w:t>54.6</w:t>
            </w:r>
          </w:p>
        </w:tc>
        <w:tc>
          <w:tcPr>
            <w:tcW w:w="2340" w:type="dxa"/>
            <w:tcBorders/>
            <w:vAlign w:val="center"/>
          </w:tcPr>
          <w:p>
            <w:pPr>
              <w:pStyle w:val="style0"/>
              <w:rPr/>
            </w:pPr>
            <w:r>
              <w:rPr>
                <w:rFonts w:ascii="Times New Roman" w:eastAsia="Times New Roman" w:hAnsi="Times New Roman"/>
                <w:sz w:val="20"/>
              </w:rPr>
              <w:t>54.6% (48.0-61.1)</w:t>
            </w:r>
          </w:p>
        </w:tc>
      </w:tr>
      <w:tr>
        <w:tblPrEx/>
        <w:trPr>
          <w:jc w:val="center"/>
        </w:trPr>
        <w:tc>
          <w:tcPr>
            <w:tcW w:w="2340" w:type="dxa"/>
            <w:tcBorders/>
            <w:vAlign w:val="center"/>
          </w:tcPr>
          <w:p>
            <w:pPr>
              <w:pStyle w:val="style0"/>
              <w:rPr/>
            </w:pPr>
            <w:r>
              <w:rPr>
                <w:rFonts w:ascii="Times New Roman" w:eastAsia="Times New Roman" w:hAnsi="Times New Roman"/>
                <w:sz w:val="20"/>
              </w:rPr>
              <w:t>Primary infertility</w:t>
            </w:r>
          </w:p>
        </w:tc>
        <w:tc>
          <w:tcPr>
            <w:tcW w:w="2340" w:type="dxa"/>
            <w:tcBorders/>
            <w:vAlign w:val="center"/>
          </w:tcPr>
          <w:p>
            <w:pPr>
              <w:pStyle w:val="style0"/>
              <w:rPr/>
            </w:pPr>
            <w:r>
              <w:rPr>
                <w:rFonts w:ascii="Times New Roman" w:eastAsia="Times New Roman" w:hAnsi="Times New Roman"/>
                <w:sz w:val="20"/>
              </w:rPr>
              <w:t>76</w:t>
            </w:r>
          </w:p>
        </w:tc>
        <w:tc>
          <w:tcPr>
            <w:tcW w:w="2340" w:type="dxa"/>
            <w:tcBorders/>
            <w:vAlign w:val="center"/>
          </w:tcPr>
          <w:p>
            <w:pPr>
              <w:pStyle w:val="style0"/>
              <w:rPr/>
            </w:pPr>
            <w:r>
              <w:rPr>
                <w:rFonts w:ascii="Times New Roman" w:eastAsia="Times New Roman" w:hAnsi="Times New Roman"/>
                <w:sz w:val="20"/>
              </w:rPr>
              <w:t>35.2</w:t>
            </w:r>
          </w:p>
        </w:tc>
        <w:tc>
          <w:tcPr>
            <w:tcW w:w="2340" w:type="dxa"/>
            <w:tcBorders/>
            <w:vAlign w:val="center"/>
          </w:tcPr>
          <w:p>
            <w:pPr>
              <w:pStyle w:val="style0"/>
              <w:rPr/>
            </w:pPr>
            <w:r>
              <w:rPr>
                <w:rFonts w:ascii="Times New Roman" w:eastAsia="Times New Roman" w:hAnsi="Times New Roman"/>
                <w:sz w:val="20"/>
              </w:rPr>
              <w:t>35.2% (29.1-41.8)</w:t>
            </w:r>
          </w:p>
        </w:tc>
      </w:tr>
      <w:tr>
        <w:tblPrEx/>
        <w:trPr>
          <w:jc w:val="center"/>
        </w:trPr>
        <w:tc>
          <w:tcPr>
            <w:tcW w:w="2340" w:type="dxa"/>
            <w:tcBorders/>
            <w:vAlign w:val="center"/>
          </w:tcPr>
          <w:p>
            <w:pPr>
              <w:pStyle w:val="style0"/>
              <w:rPr/>
            </w:pPr>
            <w:r>
              <w:rPr>
                <w:rFonts w:ascii="Times New Roman" w:eastAsia="Times New Roman" w:hAnsi="Times New Roman"/>
                <w:sz w:val="20"/>
              </w:rPr>
              <w:t>Subfertility</w:t>
            </w:r>
          </w:p>
        </w:tc>
        <w:tc>
          <w:tcPr>
            <w:tcW w:w="2340" w:type="dxa"/>
            <w:tcBorders/>
            <w:vAlign w:val="center"/>
          </w:tcPr>
          <w:p>
            <w:pPr>
              <w:pStyle w:val="style0"/>
              <w:rPr/>
            </w:pPr>
            <w:r>
              <w:rPr>
                <w:rFonts w:ascii="Times New Roman" w:eastAsia="Times New Roman" w:hAnsi="Times New Roman"/>
                <w:sz w:val="20"/>
              </w:rPr>
              <w:t>12</w:t>
            </w:r>
          </w:p>
        </w:tc>
        <w:tc>
          <w:tcPr>
            <w:tcW w:w="2340" w:type="dxa"/>
            <w:tcBorders/>
            <w:vAlign w:val="center"/>
          </w:tcPr>
          <w:p>
            <w:pPr>
              <w:pStyle w:val="style0"/>
              <w:rPr/>
            </w:pPr>
            <w:r>
              <w:rPr>
                <w:rFonts w:ascii="Times New Roman" w:eastAsia="Times New Roman" w:hAnsi="Times New Roman"/>
                <w:sz w:val="20"/>
              </w:rPr>
              <w:t>5.6</w:t>
            </w:r>
          </w:p>
        </w:tc>
        <w:tc>
          <w:tcPr>
            <w:tcW w:w="2340" w:type="dxa"/>
            <w:tcBorders/>
            <w:vAlign w:val="center"/>
          </w:tcPr>
          <w:p>
            <w:pPr>
              <w:pStyle w:val="style0"/>
              <w:rPr/>
            </w:pPr>
            <w:r>
              <w:rPr>
                <w:rFonts w:ascii="Times New Roman" w:eastAsia="Times New Roman" w:hAnsi="Times New Roman"/>
                <w:sz w:val="20"/>
              </w:rPr>
              <w:t>5.6% (3.2-9.5)</w:t>
            </w:r>
          </w:p>
        </w:tc>
      </w:tr>
      <w:tr>
        <w:tblPrEx/>
        <w:trPr>
          <w:jc w:val="center"/>
        </w:trPr>
        <w:tc>
          <w:tcPr>
            <w:tcW w:w="2340" w:type="dxa"/>
            <w:tcBorders/>
            <w:vAlign w:val="center"/>
          </w:tcPr>
          <w:p>
            <w:pPr>
              <w:pStyle w:val="style0"/>
              <w:rPr/>
            </w:pPr>
            <w:r>
              <w:rPr>
                <w:rFonts w:ascii="Times New Roman" w:eastAsia="Times New Roman" w:hAnsi="Times New Roman"/>
                <w:sz w:val="20"/>
              </w:rPr>
              <w:t>Recurrent spontaneous abortion</w:t>
            </w:r>
          </w:p>
        </w:tc>
        <w:tc>
          <w:tcPr>
            <w:tcW w:w="2340" w:type="dxa"/>
            <w:tcBorders/>
            <w:vAlign w:val="center"/>
          </w:tcPr>
          <w:p>
            <w:pPr>
              <w:pStyle w:val="style0"/>
              <w:rPr/>
            </w:pPr>
            <w:r>
              <w:rPr>
                <w:rFonts w:ascii="Times New Roman" w:eastAsia="Times New Roman" w:hAnsi="Times New Roman"/>
                <w:sz w:val="20"/>
              </w:rPr>
              <w:t>5</w:t>
            </w:r>
          </w:p>
        </w:tc>
        <w:tc>
          <w:tcPr>
            <w:tcW w:w="2340" w:type="dxa"/>
            <w:tcBorders/>
            <w:vAlign w:val="center"/>
          </w:tcPr>
          <w:p>
            <w:pPr>
              <w:pStyle w:val="style0"/>
              <w:rPr/>
            </w:pPr>
            <w:r>
              <w:rPr>
                <w:rFonts w:ascii="Times New Roman" w:eastAsia="Times New Roman" w:hAnsi="Times New Roman"/>
                <w:sz w:val="20"/>
              </w:rPr>
              <w:t>2.3</w:t>
            </w:r>
          </w:p>
        </w:tc>
        <w:tc>
          <w:tcPr>
            <w:tcW w:w="2340" w:type="dxa"/>
            <w:tcBorders/>
            <w:vAlign w:val="center"/>
          </w:tcPr>
          <w:p>
            <w:pPr>
              <w:pStyle w:val="style0"/>
              <w:rPr/>
            </w:pPr>
            <w:r>
              <w:rPr>
                <w:rFonts w:ascii="Times New Roman" w:eastAsia="Times New Roman" w:hAnsi="Times New Roman"/>
                <w:sz w:val="20"/>
              </w:rPr>
              <w:t>2.3% (1.0-5.3)</w:t>
            </w:r>
          </w:p>
        </w:tc>
      </w:tr>
      <w:tr>
        <w:tblPrEx/>
        <w:trPr>
          <w:jc w:val="center"/>
        </w:trPr>
        <w:tc>
          <w:tcPr>
            <w:tcW w:w="2340" w:type="dxa"/>
            <w:tcBorders/>
            <w:vAlign w:val="center"/>
          </w:tcPr>
          <w:p>
            <w:pPr>
              <w:pStyle w:val="style0"/>
              <w:rPr/>
            </w:pPr>
            <w:r>
              <w:rPr>
                <w:rFonts w:ascii="Times New Roman" w:eastAsia="Times New Roman" w:hAnsi="Times New Roman"/>
                <w:sz w:val="20"/>
              </w:rPr>
              <w:t>Amenorrhea</w:t>
            </w:r>
          </w:p>
        </w:tc>
        <w:tc>
          <w:tcPr>
            <w:tcW w:w="2340" w:type="dxa"/>
            <w:tcBorders/>
            <w:vAlign w:val="center"/>
          </w:tcPr>
          <w:p>
            <w:pPr>
              <w:pStyle w:val="style0"/>
              <w:rPr/>
            </w:pPr>
            <w:r>
              <w:rPr>
                <w:rFonts w:ascii="Times New Roman" w:eastAsia="Times New Roman" w:hAnsi="Times New Roman"/>
                <w:sz w:val="20"/>
              </w:rPr>
              <w:t>3</w:t>
            </w:r>
          </w:p>
        </w:tc>
        <w:tc>
          <w:tcPr>
            <w:tcW w:w="2340" w:type="dxa"/>
            <w:tcBorders/>
            <w:vAlign w:val="center"/>
          </w:tcPr>
          <w:p>
            <w:pPr>
              <w:pStyle w:val="style0"/>
              <w:rPr/>
            </w:pPr>
            <w:r>
              <w:rPr>
                <w:rFonts w:ascii="Times New Roman" w:eastAsia="Times New Roman" w:hAnsi="Times New Roman"/>
                <w:sz w:val="20"/>
              </w:rPr>
              <w:t>1.4</w:t>
            </w:r>
          </w:p>
        </w:tc>
        <w:tc>
          <w:tcPr>
            <w:tcW w:w="2340" w:type="dxa"/>
            <w:tcBorders/>
            <w:vAlign w:val="center"/>
          </w:tcPr>
          <w:p>
            <w:pPr>
              <w:pStyle w:val="style0"/>
              <w:rPr/>
            </w:pPr>
            <w:r>
              <w:rPr>
                <w:rFonts w:ascii="Times New Roman" w:eastAsia="Times New Roman" w:hAnsi="Times New Roman"/>
                <w:sz w:val="20"/>
              </w:rPr>
              <w:t>1.4% (0.5-4.0)</w:t>
            </w:r>
          </w:p>
        </w:tc>
      </w:tr>
      <w:tr>
        <w:tblPrEx/>
        <w:trPr>
          <w:jc w:val="center"/>
        </w:trPr>
        <w:tc>
          <w:tcPr>
            <w:tcW w:w="2340" w:type="dxa"/>
            <w:tcBorders/>
            <w:vAlign w:val="center"/>
          </w:tcPr>
          <w:p>
            <w:pPr>
              <w:pStyle w:val="style0"/>
              <w:rPr/>
            </w:pPr>
            <w:r>
              <w:rPr>
                <w:rFonts w:ascii="Times New Roman" w:eastAsia="Times New Roman" w:hAnsi="Times New Roman"/>
                <w:sz w:val="20"/>
              </w:rPr>
              <w:t>Post-myomectomy assessment</w:t>
            </w:r>
          </w:p>
        </w:tc>
        <w:tc>
          <w:tcPr>
            <w:tcW w:w="2340" w:type="dxa"/>
            <w:tcBorders/>
            <w:vAlign w:val="center"/>
          </w:tcPr>
          <w:p>
            <w:pPr>
              <w:pStyle w:val="style0"/>
              <w:rPr/>
            </w:pPr>
            <w:r>
              <w:rPr>
                <w:rFonts w:ascii="Times New Roman" w:eastAsia="Times New Roman" w:hAnsi="Times New Roman"/>
                <w:sz w:val="20"/>
              </w:rPr>
              <w:t>2</w:t>
            </w:r>
          </w:p>
        </w:tc>
        <w:tc>
          <w:tcPr>
            <w:tcW w:w="2340" w:type="dxa"/>
            <w:tcBorders/>
            <w:vAlign w:val="center"/>
          </w:tcPr>
          <w:p>
            <w:pPr>
              <w:pStyle w:val="style0"/>
              <w:rPr/>
            </w:pPr>
            <w:r>
              <w:rPr>
                <w:rFonts w:ascii="Times New Roman" w:eastAsia="Times New Roman" w:hAnsi="Times New Roman"/>
                <w:sz w:val="20"/>
              </w:rPr>
              <w:t>0.9</w:t>
            </w:r>
          </w:p>
        </w:tc>
        <w:tc>
          <w:tcPr>
            <w:tcW w:w="2340" w:type="dxa"/>
            <w:tcBorders/>
            <w:vAlign w:val="center"/>
          </w:tcPr>
          <w:p>
            <w:pPr>
              <w:pStyle w:val="style0"/>
              <w:rPr/>
            </w:pPr>
            <w:r>
              <w:rPr>
                <w:rFonts w:ascii="Times New Roman" w:eastAsia="Times New Roman" w:hAnsi="Times New Roman"/>
                <w:sz w:val="20"/>
              </w:rPr>
              <w:t>0.9% (0.3-3.3)</w:t>
            </w:r>
          </w:p>
        </w:tc>
      </w:tr>
      <w:tr>
        <w:tblPrEx/>
        <w:trPr>
          <w:jc w:val="center"/>
        </w:trPr>
        <w:tc>
          <w:tcPr>
            <w:tcW w:w="2340" w:type="dxa"/>
            <w:tcBorders/>
            <w:vAlign w:val="center"/>
          </w:tcPr>
          <w:p>
            <w:pPr>
              <w:pStyle w:val="style0"/>
              <w:rPr/>
            </w:pPr>
            <w:r>
              <w:rPr>
                <w:rFonts w:ascii="Times New Roman" w:eastAsia="Times New Roman" w:hAnsi="Times New Roman"/>
                <w:sz w:val="20"/>
              </w:rPr>
              <w:t>Total</w:t>
            </w:r>
          </w:p>
        </w:tc>
        <w:tc>
          <w:tcPr>
            <w:tcW w:w="2340" w:type="dxa"/>
            <w:tcBorders/>
            <w:vAlign w:val="center"/>
          </w:tcPr>
          <w:p>
            <w:pPr>
              <w:pStyle w:val="style0"/>
              <w:rPr/>
            </w:pPr>
            <w:r>
              <w:rPr>
                <w:rFonts w:ascii="Times New Roman" w:eastAsia="Times New Roman" w:hAnsi="Times New Roman"/>
                <w:sz w:val="20"/>
              </w:rPr>
              <w:t>216</w:t>
            </w:r>
          </w:p>
        </w:tc>
        <w:tc>
          <w:tcPr>
            <w:tcW w:w="2340" w:type="dxa"/>
            <w:tcBorders/>
            <w:vAlign w:val="center"/>
          </w:tcPr>
          <w:p>
            <w:pPr>
              <w:pStyle w:val="style0"/>
              <w:rPr/>
            </w:pPr>
            <w:r>
              <w:rPr>
                <w:rFonts w:ascii="Times New Roman" w:eastAsia="Times New Roman" w:hAnsi="Times New Roman"/>
                <w:sz w:val="20"/>
              </w:rPr>
              <w:t>100.0</w:t>
            </w:r>
          </w:p>
        </w:tc>
        <w:tc>
          <w:tcPr>
            <w:tcW w:w="2340" w:type="dxa"/>
            <w:tcBorders/>
            <w:vAlign w:val="center"/>
          </w:tcPr>
          <w:p>
            <w:pPr>
              <w:pStyle w:val="style0"/>
              <w:rPr/>
            </w:pPr>
            <w:r>
              <w:rPr>
                <w:rFonts w:ascii="Times New Roman" w:eastAsia="Times New Roman" w:hAnsi="Times New Roman"/>
                <w:sz w:val="20"/>
              </w:rPr>
              <w:t>-</w:t>
            </w:r>
          </w:p>
        </w:tc>
      </w:tr>
    </w:tbl>
    <w:p>
      <w:pPr>
        <w:pStyle w:val="style0"/>
        <w:rPr/>
      </w:pPr>
      <w:r>
        <w:t>Secondary infertility was the leading indication for HSG (54.6%), followed by primary infertility (35.2%). Other indications were relatively uncommon.</w:t>
      </w:r>
    </w:p>
    <w:p>
      <w:pPr>
        <w:pStyle w:val="style0"/>
        <w:rPr/>
      </w:pPr>
      <w:r>
        <w:rPr>
          <w:b/>
        </w:rPr>
        <w:t>Table 3. Classification of HSG findings as normal or abnormal (N = 216).</w:t>
      </w:r>
    </w:p>
    <w:tbl>
      <w:tblPr>
        <w:tblStyle w:val="style154"/>
        <w:tblW w:w="0" w:type="auto"/>
        <w:jc w:val="center"/>
        <w:tblLook w:val="04A0" w:firstRow="1" w:lastRow="0" w:firstColumn="1" w:lastColumn="0" w:noHBand="0" w:noVBand="1"/>
      </w:tblPr>
      <w:tblGrid>
        <w:gridCol w:w="2340"/>
        <w:gridCol w:w="2340"/>
        <w:gridCol w:w="2340"/>
        <w:gridCol w:w="2340"/>
      </w:tblGrid>
      <w:tr>
        <w:trPr>
          <w:jc w:val="center"/>
        </w:trPr>
        <w:tc>
          <w:tcPr>
            <w:tcW w:w="2340" w:type="dxa"/>
            <w:tcBorders/>
            <w:vAlign w:val="center"/>
          </w:tcPr>
          <w:p>
            <w:pPr>
              <w:pStyle w:val="style0"/>
              <w:rPr/>
            </w:pPr>
            <w:r>
              <w:rPr>
                <w:rFonts w:ascii="Times New Roman" w:eastAsia="Times New Roman" w:hAnsi="Times New Roman"/>
                <w:b/>
                <w:sz w:val="20"/>
              </w:rPr>
              <w:t>Finding status</w:t>
            </w:r>
          </w:p>
        </w:tc>
        <w:tc>
          <w:tcPr>
            <w:tcW w:w="2340" w:type="dxa"/>
            <w:tcBorders/>
            <w:vAlign w:val="center"/>
          </w:tcPr>
          <w:p>
            <w:pPr>
              <w:pStyle w:val="style0"/>
              <w:rPr/>
            </w:pPr>
            <w:r>
              <w:rPr>
                <w:rFonts w:ascii="Times New Roman" w:eastAsia="Times New Roman" w:hAnsi="Times New Roman"/>
                <w:b/>
                <w:sz w:val="20"/>
              </w:rPr>
              <w:t>Frequency</w:t>
            </w:r>
          </w:p>
        </w:tc>
        <w:tc>
          <w:tcPr>
            <w:tcW w:w="2340" w:type="dxa"/>
            <w:tcBorders/>
            <w:vAlign w:val="center"/>
          </w:tcPr>
          <w:p>
            <w:pPr>
              <w:pStyle w:val="style0"/>
              <w:rPr/>
            </w:pPr>
            <w:r>
              <w:rPr>
                <w:rFonts w:ascii="Times New Roman" w:eastAsia="Times New Roman" w:hAnsi="Times New Roman"/>
                <w:b/>
                <w:sz w:val="20"/>
              </w:rPr>
              <w:t>Percentage (%)</w:t>
            </w:r>
          </w:p>
        </w:tc>
        <w:tc>
          <w:tcPr>
            <w:tcW w:w="2340" w:type="dxa"/>
            <w:tcBorders/>
            <w:vAlign w:val="center"/>
          </w:tcPr>
          <w:p>
            <w:pPr>
              <w:pStyle w:val="style0"/>
              <w:rPr/>
            </w:pPr>
            <w:r>
              <w:rPr>
                <w:rFonts w:ascii="Times New Roman" w:eastAsia="Times New Roman" w:hAnsi="Times New Roman"/>
                <w:b/>
                <w:sz w:val="20"/>
              </w:rPr>
              <w:t>95% CI for percentage</w:t>
            </w:r>
          </w:p>
        </w:tc>
      </w:tr>
      <w:tr>
        <w:tblPrEx/>
        <w:trPr>
          <w:jc w:val="center"/>
        </w:trPr>
        <w:tc>
          <w:tcPr>
            <w:tcW w:w="2340" w:type="dxa"/>
            <w:tcBorders/>
            <w:vAlign w:val="center"/>
          </w:tcPr>
          <w:p>
            <w:pPr>
              <w:pStyle w:val="style0"/>
              <w:rPr/>
            </w:pPr>
            <w:r>
              <w:rPr>
                <w:rFonts w:ascii="Times New Roman" w:eastAsia="Times New Roman" w:hAnsi="Times New Roman"/>
                <w:sz w:val="20"/>
              </w:rPr>
              <w:t>Normal findings</w:t>
            </w:r>
          </w:p>
        </w:tc>
        <w:tc>
          <w:tcPr>
            <w:tcW w:w="2340" w:type="dxa"/>
            <w:tcBorders/>
            <w:vAlign w:val="center"/>
          </w:tcPr>
          <w:p>
            <w:pPr>
              <w:pStyle w:val="style0"/>
              <w:rPr/>
            </w:pPr>
            <w:r>
              <w:rPr>
                <w:rFonts w:ascii="Times New Roman" w:eastAsia="Times New Roman" w:hAnsi="Times New Roman"/>
                <w:sz w:val="20"/>
              </w:rPr>
              <w:t>47</w:t>
            </w:r>
          </w:p>
        </w:tc>
        <w:tc>
          <w:tcPr>
            <w:tcW w:w="2340" w:type="dxa"/>
            <w:tcBorders/>
            <w:vAlign w:val="center"/>
          </w:tcPr>
          <w:p>
            <w:pPr>
              <w:pStyle w:val="style0"/>
              <w:rPr/>
            </w:pPr>
            <w:r>
              <w:rPr>
                <w:rFonts w:ascii="Times New Roman" w:eastAsia="Times New Roman" w:hAnsi="Times New Roman"/>
                <w:sz w:val="20"/>
              </w:rPr>
              <w:t>21.8</w:t>
            </w:r>
          </w:p>
        </w:tc>
        <w:tc>
          <w:tcPr>
            <w:tcW w:w="2340" w:type="dxa"/>
            <w:tcBorders/>
            <w:vAlign w:val="center"/>
          </w:tcPr>
          <w:p>
            <w:pPr>
              <w:pStyle w:val="style0"/>
              <w:rPr/>
            </w:pPr>
            <w:r>
              <w:rPr>
                <w:rFonts w:ascii="Times New Roman" w:eastAsia="Times New Roman" w:hAnsi="Times New Roman"/>
                <w:sz w:val="20"/>
              </w:rPr>
              <w:t>21.8% (16.8-27.7)</w:t>
            </w:r>
          </w:p>
        </w:tc>
      </w:tr>
      <w:tr>
        <w:tblPrEx/>
        <w:trPr>
          <w:jc w:val="center"/>
        </w:trPr>
        <w:tc>
          <w:tcPr>
            <w:tcW w:w="2340" w:type="dxa"/>
            <w:tcBorders/>
            <w:vAlign w:val="center"/>
          </w:tcPr>
          <w:p>
            <w:pPr>
              <w:pStyle w:val="style0"/>
              <w:rPr/>
            </w:pPr>
            <w:r>
              <w:rPr>
                <w:rFonts w:ascii="Times New Roman" w:eastAsia="Times New Roman" w:hAnsi="Times New Roman"/>
                <w:sz w:val="20"/>
              </w:rPr>
              <w:t>Abnormal findings</w:t>
            </w:r>
          </w:p>
        </w:tc>
        <w:tc>
          <w:tcPr>
            <w:tcW w:w="2340" w:type="dxa"/>
            <w:tcBorders/>
            <w:vAlign w:val="center"/>
          </w:tcPr>
          <w:p>
            <w:pPr>
              <w:pStyle w:val="style0"/>
              <w:rPr/>
            </w:pPr>
            <w:r>
              <w:rPr>
                <w:rFonts w:ascii="Times New Roman" w:eastAsia="Times New Roman" w:hAnsi="Times New Roman"/>
                <w:sz w:val="20"/>
              </w:rPr>
              <w:t>169</w:t>
            </w:r>
          </w:p>
        </w:tc>
        <w:tc>
          <w:tcPr>
            <w:tcW w:w="2340" w:type="dxa"/>
            <w:tcBorders/>
            <w:vAlign w:val="center"/>
          </w:tcPr>
          <w:p>
            <w:pPr>
              <w:pStyle w:val="style0"/>
              <w:rPr/>
            </w:pPr>
            <w:r>
              <w:rPr>
                <w:rFonts w:ascii="Times New Roman" w:eastAsia="Times New Roman" w:hAnsi="Times New Roman"/>
                <w:sz w:val="20"/>
              </w:rPr>
              <w:t>78.2</w:t>
            </w:r>
          </w:p>
        </w:tc>
        <w:tc>
          <w:tcPr>
            <w:tcW w:w="2340" w:type="dxa"/>
            <w:tcBorders/>
            <w:vAlign w:val="center"/>
          </w:tcPr>
          <w:p>
            <w:pPr>
              <w:pStyle w:val="style0"/>
              <w:rPr/>
            </w:pPr>
            <w:r>
              <w:rPr>
                <w:rFonts w:ascii="Times New Roman" w:eastAsia="Times New Roman" w:hAnsi="Times New Roman"/>
                <w:sz w:val="20"/>
              </w:rPr>
              <w:t>78.2% (72.3-83.2)</w:t>
            </w:r>
          </w:p>
        </w:tc>
      </w:tr>
      <w:tr>
        <w:tblPrEx/>
        <w:trPr>
          <w:jc w:val="center"/>
        </w:trPr>
        <w:tc>
          <w:tcPr>
            <w:tcW w:w="2340" w:type="dxa"/>
            <w:tcBorders/>
            <w:vAlign w:val="center"/>
          </w:tcPr>
          <w:p>
            <w:pPr>
              <w:pStyle w:val="style0"/>
              <w:rPr/>
            </w:pPr>
            <w:r>
              <w:rPr>
                <w:rFonts w:ascii="Times New Roman" w:eastAsia="Times New Roman" w:hAnsi="Times New Roman"/>
                <w:sz w:val="20"/>
              </w:rPr>
              <w:t>Total</w:t>
            </w:r>
          </w:p>
        </w:tc>
        <w:tc>
          <w:tcPr>
            <w:tcW w:w="2340" w:type="dxa"/>
            <w:tcBorders/>
            <w:vAlign w:val="center"/>
          </w:tcPr>
          <w:p>
            <w:pPr>
              <w:pStyle w:val="style0"/>
              <w:rPr/>
            </w:pPr>
            <w:r>
              <w:rPr>
                <w:rFonts w:ascii="Times New Roman" w:eastAsia="Times New Roman" w:hAnsi="Times New Roman"/>
                <w:sz w:val="20"/>
              </w:rPr>
              <w:t>216</w:t>
            </w:r>
          </w:p>
        </w:tc>
        <w:tc>
          <w:tcPr>
            <w:tcW w:w="2340" w:type="dxa"/>
            <w:tcBorders/>
            <w:vAlign w:val="center"/>
          </w:tcPr>
          <w:p>
            <w:pPr>
              <w:pStyle w:val="style0"/>
              <w:rPr/>
            </w:pPr>
            <w:r>
              <w:rPr>
                <w:rFonts w:ascii="Times New Roman" w:eastAsia="Times New Roman" w:hAnsi="Times New Roman"/>
                <w:sz w:val="20"/>
              </w:rPr>
              <w:t>100.0</w:t>
            </w:r>
          </w:p>
        </w:tc>
        <w:tc>
          <w:tcPr>
            <w:tcW w:w="2340" w:type="dxa"/>
            <w:tcBorders/>
            <w:vAlign w:val="center"/>
          </w:tcPr>
          <w:p>
            <w:pPr>
              <w:pStyle w:val="style0"/>
              <w:rPr/>
            </w:pPr>
            <w:r>
              <w:rPr>
                <w:rFonts w:ascii="Times New Roman" w:eastAsia="Times New Roman" w:hAnsi="Times New Roman"/>
                <w:sz w:val="20"/>
              </w:rPr>
              <w:t>-</w:t>
            </w:r>
          </w:p>
        </w:tc>
      </w:tr>
    </w:tbl>
    <w:p>
      <w:pPr>
        <w:pStyle w:val="style0"/>
        <w:rPr/>
      </w:pPr>
      <w:r>
        <w:t>Overall, 169/216 women had abnormal HSG findings. This high proportion indicates that most women referred for HSG in this facility had identifiable structural or functional reproductive tract abnormalities.</w:t>
      </w:r>
    </w:p>
    <w:p>
      <w:pPr>
        <w:pStyle w:val="style0"/>
        <w:rPr/>
      </w:pPr>
      <w:r>
        <w:rPr>
          <w:b/>
        </w:rPr>
        <w:t>Table 4. Age distribution of women who underwent HSG (N = 216).</w:t>
      </w:r>
    </w:p>
    <w:tbl>
      <w:tblPr>
        <w:tblStyle w:val="style154"/>
        <w:tblW w:w="0" w:type="auto"/>
        <w:jc w:val="center"/>
        <w:tblLook w:val="04A0" w:firstRow="1" w:lastRow="0" w:firstColumn="1" w:lastColumn="0" w:noHBand="0" w:noVBand="1"/>
      </w:tblPr>
      <w:tblGrid>
        <w:gridCol w:w="2340"/>
        <w:gridCol w:w="2340"/>
        <w:gridCol w:w="2340"/>
        <w:gridCol w:w="2340"/>
      </w:tblGrid>
      <w:tr>
        <w:trPr>
          <w:jc w:val="center"/>
        </w:trPr>
        <w:tc>
          <w:tcPr>
            <w:tcW w:w="2340" w:type="dxa"/>
            <w:tcBorders/>
            <w:vAlign w:val="center"/>
          </w:tcPr>
          <w:p>
            <w:pPr>
              <w:pStyle w:val="style0"/>
              <w:rPr/>
            </w:pPr>
            <w:r>
              <w:rPr>
                <w:rFonts w:ascii="Times New Roman" w:eastAsia="Times New Roman" w:hAnsi="Times New Roman"/>
                <w:b/>
                <w:sz w:val="20"/>
              </w:rPr>
              <w:t>Age group (years)</w:t>
            </w:r>
          </w:p>
        </w:tc>
        <w:tc>
          <w:tcPr>
            <w:tcW w:w="2340" w:type="dxa"/>
            <w:tcBorders/>
            <w:vAlign w:val="center"/>
          </w:tcPr>
          <w:p>
            <w:pPr>
              <w:pStyle w:val="style0"/>
              <w:rPr/>
            </w:pPr>
            <w:r>
              <w:rPr>
                <w:rFonts w:ascii="Times New Roman" w:eastAsia="Times New Roman" w:hAnsi="Times New Roman"/>
                <w:b/>
                <w:sz w:val="20"/>
              </w:rPr>
              <w:t>Frequency</w:t>
            </w:r>
          </w:p>
        </w:tc>
        <w:tc>
          <w:tcPr>
            <w:tcW w:w="2340" w:type="dxa"/>
            <w:tcBorders/>
            <w:vAlign w:val="center"/>
          </w:tcPr>
          <w:p>
            <w:pPr>
              <w:pStyle w:val="style0"/>
              <w:rPr/>
            </w:pPr>
            <w:r>
              <w:rPr>
                <w:rFonts w:ascii="Times New Roman" w:eastAsia="Times New Roman" w:hAnsi="Times New Roman"/>
                <w:b/>
                <w:sz w:val="20"/>
              </w:rPr>
              <w:t>Percentage (%)</w:t>
            </w:r>
          </w:p>
        </w:tc>
        <w:tc>
          <w:tcPr>
            <w:tcW w:w="2340" w:type="dxa"/>
            <w:tcBorders/>
            <w:vAlign w:val="center"/>
          </w:tcPr>
          <w:p>
            <w:pPr>
              <w:pStyle w:val="style0"/>
              <w:rPr/>
            </w:pPr>
            <w:r>
              <w:rPr>
                <w:rFonts w:ascii="Times New Roman" w:eastAsia="Times New Roman" w:hAnsi="Times New Roman"/>
                <w:b/>
                <w:sz w:val="20"/>
              </w:rPr>
              <w:t>95% CI for percentage</w:t>
            </w:r>
          </w:p>
        </w:tc>
      </w:tr>
      <w:tr>
        <w:tblPrEx/>
        <w:trPr>
          <w:jc w:val="center"/>
        </w:trPr>
        <w:tc>
          <w:tcPr>
            <w:tcW w:w="2340" w:type="dxa"/>
            <w:tcBorders/>
            <w:vAlign w:val="center"/>
          </w:tcPr>
          <w:p>
            <w:pPr>
              <w:pStyle w:val="style0"/>
              <w:rPr/>
            </w:pPr>
            <w:r>
              <w:rPr>
                <w:rFonts w:ascii="Times New Roman" w:eastAsia="Times New Roman" w:hAnsi="Times New Roman"/>
                <w:sz w:val="20"/>
              </w:rPr>
              <w:t>20-24</w:t>
            </w:r>
          </w:p>
        </w:tc>
        <w:tc>
          <w:tcPr>
            <w:tcW w:w="2340" w:type="dxa"/>
            <w:tcBorders/>
            <w:vAlign w:val="center"/>
          </w:tcPr>
          <w:p>
            <w:pPr>
              <w:pStyle w:val="style0"/>
              <w:rPr/>
            </w:pPr>
            <w:r>
              <w:rPr>
                <w:rFonts w:ascii="Times New Roman" w:eastAsia="Times New Roman" w:hAnsi="Times New Roman"/>
                <w:sz w:val="20"/>
              </w:rPr>
              <w:t>7</w:t>
            </w:r>
          </w:p>
        </w:tc>
        <w:tc>
          <w:tcPr>
            <w:tcW w:w="2340" w:type="dxa"/>
            <w:tcBorders/>
            <w:vAlign w:val="center"/>
          </w:tcPr>
          <w:p>
            <w:pPr>
              <w:pStyle w:val="style0"/>
              <w:rPr/>
            </w:pPr>
            <w:r>
              <w:rPr>
                <w:rFonts w:ascii="Times New Roman" w:eastAsia="Times New Roman" w:hAnsi="Times New Roman"/>
                <w:sz w:val="20"/>
              </w:rPr>
              <w:t>3.2</w:t>
            </w:r>
          </w:p>
        </w:tc>
        <w:tc>
          <w:tcPr>
            <w:tcW w:w="2340" w:type="dxa"/>
            <w:tcBorders/>
            <w:vAlign w:val="center"/>
          </w:tcPr>
          <w:p>
            <w:pPr>
              <w:pStyle w:val="style0"/>
              <w:rPr/>
            </w:pPr>
            <w:r>
              <w:rPr>
                <w:rFonts w:ascii="Times New Roman" w:eastAsia="Times New Roman" w:hAnsi="Times New Roman"/>
                <w:sz w:val="20"/>
              </w:rPr>
              <w:t>3.2% (1.6-6.5)</w:t>
            </w:r>
          </w:p>
        </w:tc>
      </w:tr>
      <w:tr>
        <w:tblPrEx/>
        <w:trPr>
          <w:jc w:val="center"/>
        </w:trPr>
        <w:tc>
          <w:tcPr>
            <w:tcW w:w="2340" w:type="dxa"/>
            <w:tcBorders/>
            <w:vAlign w:val="center"/>
          </w:tcPr>
          <w:p>
            <w:pPr>
              <w:pStyle w:val="style0"/>
              <w:rPr/>
            </w:pPr>
            <w:r>
              <w:rPr>
                <w:rFonts w:ascii="Times New Roman" w:eastAsia="Times New Roman" w:hAnsi="Times New Roman"/>
                <w:sz w:val="20"/>
              </w:rPr>
              <w:t>25-29</w:t>
            </w:r>
          </w:p>
        </w:tc>
        <w:tc>
          <w:tcPr>
            <w:tcW w:w="2340" w:type="dxa"/>
            <w:tcBorders/>
            <w:vAlign w:val="center"/>
          </w:tcPr>
          <w:p>
            <w:pPr>
              <w:pStyle w:val="style0"/>
              <w:rPr/>
            </w:pPr>
            <w:r>
              <w:rPr>
                <w:rFonts w:ascii="Times New Roman" w:eastAsia="Times New Roman" w:hAnsi="Times New Roman"/>
                <w:sz w:val="20"/>
              </w:rPr>
              <w:t>31</w:t>
            </w:r>
          </w:p>
        </w:tc>
        <w:tc>
          <w:tcPr>
            <w:tcW w:w="2340" w:type="dxa"/>
            <w:tcBorders/>
            <w:vAlign w:val="center"/>
          </w:tcPr>
          <w:p>
            <w:pPr>
              <w:pStyle w:val="style0"/>
              <w:rPr/>
            </w:pPr>
            <w:r>
              <w:rPr>
                <w:rFonts w:ascii="Times New Roman" w:eastAsia="Times New Roman" w:hAnsi="Times New Roman"/>
                <w:sz w:val="20"/>
              </w:rPr>
              <w:t>14.4</w:t>
            </w:r>
          </w:p>
        </w:tc>
        <w:tc>
          <w:tcPr>
            <w:tcW w:w="2340" w:type="dxa"/>
            <w:tcBorders/>
            <w:vAlign w:val="center"/>
          </w:tcPr>
          <w:p>
            <w:pPr>
              <w:pStyle w:val="style0"/>
              <w:rPr/>
            </w:pPr>
            <w:r>
              <w:rPr>
                <w:rFonts w:ascii="Times New Roman" w:eastAsia="Times New Roman" w:hAnsi="Times New Roman"/>
                <w:sz w:val="20"/>
              </w:rPr>
              <w:t>14.4% (10.3-19.7)</w:t>
            </w:r>
          </w:p>
        </w:tc>
      </w:tr>
      <w:tr>
        <w:tblPrEx/>
        <w:trPr>
          <w:jc w:val="center"/>
        </w:trPr>
        <w:tc>
          <w:tcPr>
            <w:tcW w:w="2340" w:type="dxa"/>
            <w:tcBorders/>
            <w:vAlign w:val="center"/>
          </w:tcPr>
          <w:p>
            <w:pPr>
              <w:pStyle w:val="style0"/>
              <w:rPr/>
            </w:pPr>
            <w:r>
              <w:rPr>
                <w:rFonts w:ascii="Times New Roman" w:eastAsia="Times New Roman" w:hAnsi="Times New Roman"/>
                <w:sz w:val="20"/>
              </w:rPr>
              <w:t>30-34</w:t>
            </w:r>
          </w:p>
        </w:tc>
        <w:tc>
          <w:tcPr>
            <w:tcW w:w="2340" w:type="dxa"/>
            <w:tcBorders/>
            <w:vAlign w:val="center"/>
          </w:tcPr>
          <w:p>
            <w:pPr>
              <w:pStyle w:val="style0"/>
              <w:rPr/>
            </w:pPr>
            <w:r>
              <w:rPr>
                <w:rFonts w:ascii="Times New Roman" w:eastAsia="Times New Roman" w:hAnsi="Times New Roman"/>
                <w:sz w:val="20"/>
              </w:rPr>
              <w:t>63</w:t>
            </w:r>
          </w:p>
        </w:tc>
        <w:tc>
          <w:tcPr>
            <w:tcW w:w="2340" w:type="dxa"/>
            <w:tcBorders/>
            <w:vAlign w:val="center"/>
          </w:tcPr>
          <w:p>
            <w:pPr>
              <w:pStyle w:val="style0"/>
              <w:rPr/>
            </w:pPr>
            <w:r>
              <w:rPr>
                <w:rFonts w:ascii="Times New Roman" w:eastAsia="Times New Roman" w:hAnsi="Times New Roman"/>
                <w:sz w:val="20"/>
              </w:rPr>
              <w:t>29.2</w:t>
            </w:r>
          </w:p>
        </w:tc>
        <w:tc>
          <w:tcPr>
            <w:tcW w:w="2340" w:type="dxa"/>
            <w:tcBorders/>
            <w:vAlign w:val="center"/>
          </w:tcPr>
          <w:p>
            <w:pPr>
              <w:pStyle w:val="style0"/>
              <w:rPr/>
            </w:pPr>
            <w:r>
              <w:rPr>
                <w:rFonts w:ascii="Times New Roman" w:eastAsia="Times New Roman" w:hAnsi="Times New Roman"/>
                <w:sz w:val="20"/>
              </w:rPr>
              <w:t>29.2% (23.5-35.6)</w:t>
            </w:r>
          </w:p>
        </w:tc>
      </w:tr>
      <w:tr>
        <w:tblPrEx/>
        <w:trPr>
          <w:jc w:val="center"/>
        </w:trPr>
        <w:tc>
          <w:tcPr>
            <w:tcW w:w="2340" w:type="dxa"/>
            <w:tcBorders/>
            <w:vAlign w:val="center"/>
          </w:tcPr>
          <w:p>
            <w:pPr>
              <w:pStyle w:val="style0"/>
              <w:rPr/>
            </w:pPr>
            <w:r>
              <w:rPr>
                <w:rFonts w:ascii="Times New Roman" w:eastAsia="Times New Roman" w:hAnsi="Times New Roman"/>
                <w:sz w:val="20"/>
              </w:rPr>
              <w:t>35-39</w:t>
            </w:r>
          </w:p>
        </w:tc>
        <w:tc>
          <w:tcPr>
            <w:tcW w:w="2340" w:type="dxa"/>
            <w:tcBorders/>
            <w:vAlign w:val="center"/>
          </w:tcPr>
          <w:p>
            <w:pPr>
              <w:pStyle w:val="style0"/>
              <w:rPr/>
            </w:pPr>
            <w:r>
              <w:rPr>
                <w:rFonts w:ascii="Times New Roman" w:eastAsia="Times New Roman" w:hAnsi="Times New Roman"/>
                <w:sz w:val="20"/>
              </w:rPr>
              <w:t>71</w:t>
            </w:r>
          </w:p>
        </w:tc>
        <w:tc>
          <w:tcPr>
            <w:tcW w:w="2340" w:type="dxa"/>
            <w:tcBorders/>
            <w:vAlign w:val="center"/>
          </w:tcPr>
          <w:p>
            <w:pPr>
              <w:pStyle w:val="style0"/>
              <w:rPr/>
            </w:pPr>
            <w:r>
              <w:rPr>
                <w:rFonts w:ascii="Times New Roman" w:eastAsia="Times New Roman" w:hAnsi="Times New Roman"/>
                <w:sz w:val="20"/>
              </w:rPr>
              <w:t>32.9</w:t>
            </w:r>
          </w:p>
        </w:tc>
        <w:tc>
          <w:tcPr>
            <w:tcW w:w="2340" w:type="dxa"/>
            <w:tcBorders/>
            <w:vAlign w:val="center"/>
          </w:tcPr>
          <w:p>
            <w:pPr>
              <w:pStyle w:val="style0"/>
              <w:rPr/>
            </w:pPr>
            <w:r>
              <w:rPr>
                <w:rFonts w:ascii="Times New Roman" w:eastAsia="Times New Roman" w:hAnsi="Times New Roman"/>
                <w:sz w:val="20"/>
              </w:rPr>
              <w:t>32.9% (27.0-39.4)</w:t>
            </w:r>
          </w:p>
        </w:tc>
      </w:tr>
      <w:tr>
        <w:tblPrEx/>
        <w:trPr>
          <w:jc w:val="center"/>
        </w:trPr>
        <w:tc>
          <w:tcPr>
            <w:tcW w:w="2340" w:type="dxa"/>
            <w:tcBorders/>
            <w:vAlign w:val="center"/>
          </w:tcPr>
          <w:p>
            <w:pPr>
              <w:pStyle w:val="style0"/>
              <w:rPr/>
            </w:pPr>
            <w:r>
              <w:rPr>
                <w:rFonts w:ascii="Times New Roman" w:eastAsia="Times New Roman" w:hAnsi="Times New Roman"/>
                <w:sz w:val="20"/>
              </w:rPr>
              <w:t>40-44</w:t>
            </w:r>
          </w:p>
        </w:tc>
        <w:tc>
          <w:tcPr>
            <w:tcW w:w="2340" w:type="dxa"/>
            <w:tcBorders/>
            <w:vAlign w:val="center"/>
          </w:tcPr>
          <w:p>
            <w:pPr>
              <w:pStyle w:val="style0"/>
              <w:rPr/>
            </w:pPr>
            <w:r>
              <w:rPr>
                <w:rFonts w:ascii="Times New Roman" w:eastAsia="Times New Roman" w:hAnsi="Times New Roman"/>
                <w:sz w:val="20"/>
              </w:rPr>
              <w:t>36</w:t>
            </w:r>
          </w:p>
        </w:tc>
        <w:tc>
          <w:tcPr>
            <w:tcW w:w="2340" w:type="dxa"/>
            <w:tcBorders/>
            <w:vAlign w:val="center"/>
          </w:tcPr>
          <w:p>
            <w:pPr>
              <w:pStyle w:val="style0"/>
              <w:rPr/>
            </w:pPr>
            <w:r>
              <w:rPr>
                <w:rFonts w:ascii="Times New Roman" w:eastAsia="Times New Roman" w:hAnsi="Times New Roman"/>
                <w:sz w:val="20"/>
              </w:rPr>
              <w:t>16.7</w:t>
            </w:r>
          </w:p>
        </w:tc>
        <w:tc>
          <w:tcPr>
            <w:tcW w:w="2340" w:type="dxa"/>
            <w:tcBorders/>
            <w:vAlign w:val="center"/>
          </w:tcPr>
          <w:p>
            <w:pPr>
              <w:pStyle w:val="style0"/>
              <w:rPr/>
            </w:pPr>
            <w:r>
              <w:rPr>
                <w:rFonts w:ascii="Times New Roman" w:eastAsia="Times New Roman" w:hAnsi="Times New Roman"/>
                <w:sz w:val="20"/>
              </w:rPr>
              <w:t>16.7% (12.3-22.2)</w:t>
            </w:r>
          </w:p>
        </w:tc>
      </w:tr>
      <w:tr>
        <w:tblPrEx/>
        <w:trPr>
          <w:jc w:val="center"/>
        </w:trPr>
        <w:tc>
          <w:tcPr>
            <w:tcW w:w="2340" w:type="dxa"/>
            <w:tcBorders/>
            <w:vAlign w:val="center"/>
          </w:tcPr>
          <w:p>
            <w:pPr>
              <w:pStyle w:val="style0"/>
              <w:rPr/>
            </w:pPr>
            <w:r>
              <w:rPr>
                <w:rFonts w:ascii="Times New Roman" w:eastAsia="Times New Roman" w:hAnsi="Times New Roman"/>
                <w:sz w:val="20"/>
              </w:rPr>
              <w:t>45 and above</w:t>
            </w:r>
          </w:p>
        </w:tc>
        <w:tc>
          <w:tcPr>
            <w:tcW w:w="2340" w:type="dxa"/>
            <w:tcBorders/>
            <w:vAlign w:val="center"/>
          </w:tcPr>
          <w:p>
            <w:pPr>
              <w:pStyle w:val="style0"/>
              <w:rPr/>
            </w:pPr>
            <w:r>
              <w:rPr>
                <w:rFonts w:ascii="Times New Roman" w:eastAsia="Times New Roman" w:hAnsi="Times New Roman"/>
                <w:sz w:val="20"/>
              </w:rPr>
              <w:t>8</w:t>
            </w:r>
          </w:p>
        </w:tc>
        <w:tc>
          <w:tcPr>
            <w:tcW w:w="2340" w:type="dxa"/>
            <w:tcBorders/>
            <w:vAlign w:val="center"/>
          </w:tcPr>
          <w:p>
            <w:pPr>
              <w:pStyle w:val="style0"/>
              <w:rPr/>
            </w:pPr>
            <w:r>
              <w:rPr>
                <w:rFonts w:ascii="Times New Roman" w:eastAsia="Times New Roman" w:hAnsi="Times New Roman"/>
                <w:sz w:val="20"/>
              </w:rPr>
              <w:t>3.7</w:t>
            </w:r>
          </w:p>
        </w:tc>
        <w:tc>
          <w:tcPr>
            <w:tcW w:w="2340" w:type="dxa"/>
            <w:tcBorders/>
            <w:vAlign w:val="center"/>
          </w:tcPr>
          <w:p>
            <w:pPr>
              <w:pStyle w:val="style0"/>
              <w:rPr/>
            </w:pPr>
            <w:r>
              <w:rPr>
                <w:rFonts w:ascii="Times New Roman" w:eastAsia="Times New Roman" w:hAnsi="Times New Roman"/>
                <w:sz w:val="20"/>
              </w:rPr>
              <w:t>3.7% (1.9-7.1)</w:t>
            </w:r>
          </w:p>
        </w:tc>
      </w:tr>
      <w:tr>
        <w:tblPrEx/>
        <w:trPr>
          <w:jc w:val="center"/>
        </w:trPr>
        <w:tc>
          <w:tcPr>
            <w:tcW w:w="2340" w:type="dxa"/>
            <w:tcBorders/>
            <w:vAlign w:val="center"/>
          </w:tcPr>
          <w:p>
            <w:pPr>
              <w:pStyle w:val="style0"/>
              <w:rPr/>
            </w:pPr>
            <w:r>
              <w:rPr>
                <w:rFonts w:ascii="Times New Roman" w:eastAsia="Times New Roman" w:hAnsi="Times New Roman"/>
                <w:sz w:val="20"/>
              </w:rPr>
              <w:t>Total</w:t>
            </w:r>
          </w:p>
        </w:tc>
        <w:tc>
          <w:tcPr>
            <w:tcW w:w="2340" w:type="dxa"/>
            <w:tcBorders/>
            <w:vAlign w:val="center"/>
          </w:tcPr>
          <w:p>
            <w:pPr>
              <w:pStyle w:val="style0"/>
              <w:rPr/>
            </w:pPr>
            <w:r>
              <w:rPr>
                <w:rFonts w:ascii="Times New Roman" w:eastAsia="Times New Roman" w:hAnsi="Times New Roman"/>
                <w:sz w:val="20"/>
              </w:rPr>
              <w:t>216</w:t>
            </w:r>
          </w:p>
        </w:tc>
        <w:tc>
          <w:tcPr>
            <w:tcW w:w="2340" w:type="dxa"/>
            <w:tcBorders/>
            <w:vAlign w:val="center"/>
          </w:tcPr>
          <w:p>
            <w:pPr>
              <w:pStyle w:val="style0"/>
              <w:rPr/>
            </w:pPr>
            <w:r>
              <w:rPr>
                <w:rFonts w:ascii="Times New Roman" w:eastAsia="Times New Roman" w:hAnsi="Times New Roman"/>
                <w:sz w:val="20"/>
              </w:rPr>
              <w:t>100.0</w:t>
            </w:r>
          </w:p>
        </w:tc>
        <w:tc>
          <w:tcPr>
            <w:tcW w:w="2340" w:type="dxa"/>
            <w:tcBorders/>
            <w:vAlign w:val="center"/>
          </w:tcPr>
          <w:p>
            <w:pPr>
              <w:pStyle w:val="style0"/>
              <w:rPr/>
            </w:pPr>
            <w:r>
              <w:rPr>
                <w:rFonts w:ascii="Times New Roman" w:eastAsia="Times New Roman" w:hAnsi="Times New Roman"/>
                <w:sz w:val="20"/>
              </w:rPr>
              <w:t>-</w:t>
            </w:r>
          </w:p>
        </w:tc>
      </w:tr>
    </w:tbl>
    <w:p>
      <w:pPr>
        <w:pStyle w:val="style0"/>
        <w:rPr/>
      </w:pPr>
      <w:r>
        <w:rPr>
          <w:b/>
        </w:rPr>
        <w:t>Table 5. Mean age of women undergoing HSG.</w:t>
      </w:r>
    </w:p>
    <w:tbl>
      <w:tblPr>
        <w:tblStyle w:val="style154"/>
        <w:tblW w:w="0" w:type="auto"/>
        <w:jc w:val="center"/>
        <w:tblLook w:val="04A0" w:firstRow="1" w:lastRow="0" w:firstColumn="1" w:lastColumn="0" w:noHBand="0" w:noVBand="1"/>
      </w:tblPr>
      <w:tblGrid>
        <w:gridCol w:w="2340"/>
        <w:gridCol w:w="2340"/>
        <w:gridCol w:w="2340"/>
        <w:gridCol w:w="2340"/>
      </w:tblGrid>
      <w:tr>
        <w:trPr>
          <w:jc w:val="center"/>
        </w:trPr>
        <w:tc>
          <w:tcPr>
            <w:tcW w:w="2340" w:type="dxa"/>
            <w:tcBorders/>
            <w:vAlign w:val="center"/>
          </w:tcPr>
          <w:p>
            <w:pPr>
              <w:pStyle w:val="style0"/>
              <w:rPr/>
            </w:pPr>
            <w:r>
              <w:rPr>
                <w:rFonts w:ascii="Times New Roman" w:eastAsia="Times New Roman" w:hAnsi="Times New Roman"/>
                <w:b/>
                <w:sz w:val="20"/>
              </w:rPr>
              <w:t>Variable</w:t>
            </w:r>
          </w:p>
        </w:tc>
        <w:tc>
          <w:tcPr>
            <w:tcW w:w="2340" w:type="dxa"/>
            <w:tcBorders/>
            <w:vAlign w:val="center"/>
          </w:tcPr>
          <w:p>
            <w:pPr>
              <w:pStyle w:val="style0"/>
              <w:rPr/>
            </w:pPr>
            <w:r>
              <w:rPr>
                <w:rFonts w:ascii="Times New Roman" w:eastAsia="Times New Roman" w:hAnsi="Times New Roman"/>
                <w:b/>
                <w:sz w:val="20"/>
              </w:rPr>
              <w:t>Mean +/- SD</w:t>
            </w:r>
          </w:p>
        </w:tc>
        <w:tc>
          <w:tcPr>
            <w:tcW w:w="2340" w:type="dxa"/>
            <w:tcBorders/>
            <w:vAlign w:val="center"/>
          </w:tcPr>
          <w:p>
            <w:pPr>
              <w:pStyle w:val="style0"/>
              <w:rPr/>
            </w:pPr>
            <w:r>
              <w:rPr>
                <w:rFonts w:ascii="Times New Roman" w:eastAsia="Times New Roman" w:hAnsi="Times New Roman"/>
                <w:b/>
                <w:sz w:val="20"/>
              </w:rPr>
              <w:t>Minimum</w:t>
            </w:r>
          </w:p>
        </w:tc>
        <w:tc>
          <w:tcPr>
            <w:tcW w:w="2340" w:type="dxa"/>
            <w:tcBorders/>
            <w:vAlign w:val="center"/>
          </w:tcPr>
          <w:p>
            <w:pPr>
              <w:pStyle w:val="style0"/>
              <w:rPr/>
            </w:pPr>
            <w:r>
              <w:rPr>
                <w:rFonts w:ascii="Times New Roman" w:eastAsia="Times New Roman" w:hAnsi="Times New Roman"/>
                <w:b/>
                <w:sz w:val="20"/>
              </w:rPr>
              <w:t>Maximum</w:t>
            </w:r>
          </w:p>
        </w:tc>
      </w:tr>
      <w:tr>
        <w:tblPrEx/>
        <w:trPr>
          <w:jc w:val="center"/>
        </w:trPr>
        <w:tc>
          <w:tcPr>
            <w:tcW w:w="2340" w:type="dxa"/>
            <w:tcBorders/>
            <w:vAlign w:val="center"/>
          </w:tcPr>
          <w:p>
            <w:pPr>
              <w:pStyle w:val="style0"/>
              <w:rPr/>
            </w:pPr>
            <w:r>
              <w:rPr>
                <w:rFonts w:ascii="Times New Roman" w:eastAsia="Times New Roman" w:hAnsi="Times New Roman"/>
                <w:sz w:val="20"/>
              </w:rPr>
              <w:t>Age (years)</w:t>
            </w:r>
          </w:p>
        </w:tc>
        <w:tc>
          <w:tcPr>
            <w:tcW w:w="2340" w:type="dxa"/>
            <w:tcBorders/>
            <w:vAlign w:val="center"/>
          </w:tcPr>
          <w:p>
            <w:pPr>
              <w:pStyle w:val="style0"/>
              <w:rPr/>
            </w:pPr>
            <w:r>
              <w:rPr>
                <w:rFonts w:ascii="Times New Roman" w:eastAsia="Times New Roman" w:hAnsi="Times New Roman"/>
                <w:sz w:val="20"/>
              </w:rPr>
              <w:t>35.8 +/- 5.7</w:t>
            </w:r>
          </w:p>
        </w:tc>
        <w:tc>
          <w:tcPr>
            <w:tcW w:w="2340" w:type="dxa"/>
            <w:tcBorders/>
            <w:vAlign w:val="center"/>
          </w:tcPr>
          <w:p>
            <w:pPr>
              <w:pStyle w:val="style0"/>
              <w:rPr/>
            </w:pPr>
            <w:r>
              <w:rPr>
                <w:rFonts w:ascii="Times New Roman" w:eastAsia="Times New Roman" w:hAnsi="Times New Roman"/>
                <w:sz w:val="20"/>
              </w:rPr>
              <w:t>22</w:t>
            </w:r>
          </w:p>
        </w:tc>
        <w:tc>
          <w:tcPr>
            <w:tcW w:w="2340" w:type="dxa"/>
            <w:tcBorders/>
            <w:vAlign w:val="center"/>
          </w:tcPr>
          <w:p>
            <w:pPr>
              <w:pStyle w:val="style0"/>
              <w:rPr/>
            </w:pPr>
            <w:r>
              <w:rPr>
                <w:rFonts w:ascii="Times New Roman" w:eastAsia="Times New Roman" w:hAnsi="Times New Roman"/>
                <w:sz w:val="20"/>
              </w:rPr>
              <w:t>48</w:t>
            </w:r>
          </w:p>
        </w:tc>
      </w:tr>
    </w:tbl>
    <w:p>
      <w:pPr>
        <w:pStyle w:val="style1"/>
        <w:rPr/>
      </w:pPr>
      <w:r>
        <w:t>4. Discussion</w:t>
      </w:r>
    </w:p>
    <w:p>
      <w:pPr>
        <w:pStyle w:val="style2"/>
        <w:rPr/>
      </w:pPr>
      <w:r>
        <w:t>4.1 Principal findings</w:t>
      </w:r>
    </w:p>
    <w:p>
      <w:pPr>
        <w:pStyle w:val="style0"/>
        <w:rPr/>
      </w:pPr>
      <w:r>
        <w:t>This study found a high prevalence of abnormal HSG results among women undergoing infertility evaluation in Enugu metropolis. Abnormal findings accounted for 78.2% of examinations, and the leading abnormalities were uterine leiomyoma, peritubal adhesions and tubal occlusion. The age profile was concentrated in the 30-39 year range, and secondary infertility was the most frequent clinical indication. Together, these findings suggest a large contribution of both uterine and acquired tubal/peritoneal factors to infertility presentations in this setting.</w:t>
      </w:r>
    </w:p>
    <w:p>
      <w:pPr>
        <w:pStyle w:val="style2"/>
        <w:rPr/>
      </w:pPr>
      <w:r>
        <w:t>4.2 Interpretation in relation to previous evidence</w:t>
      </w:r>
    </w:p>
    <w:p>
      <w:pPr>
        <w:pStyle w:val="style0"/>
        <w:rPr/>
      </w:pPr>
      <w:r>
        <w:t>The high abnormality rate in the present study is comparable to several Nigerian reports in which HSG often identifies substantial utero-tubal pathology among women referred for infertility evaluation [15-24]. In Lagos, Makwe et al. reviewed 266 HSG records and reported a high burden of secondary infertility and tubal pathology among women attending a tertiary fertility clinic [15]. Adedigba et al. also demonstrated that abnormal HSG findings were significantly related to infertility patterns in a Nigerian population [16]. More recent reports from Zaria and Bayelsa similarly confirm that tubal blockage, hydrosalpinx, adhesions and uterine abnormalities remain important HSG findings in Nigerian fertility practice [17,19].</w:t>
      </w:r>
    </w:p>
    <w:p>
      <w:pPr>
        <w:pStyle w:val="style0"/>
        <w:rPr/>
      </w:pPr>
      <w:r>
        <w:t>The predominance of uterine leiomyoma in this study deserves clinical attention. Fibroids are common reproductive-age tumours and may impair fertility depending on size, number and relationship to the uterine cavity [25,26]. Submucosal and cavity-distorting intramural fibroids are particularly relevant because they can alter endometrial receptivity, sperm transport, implantation and pregnancy maintenance [25,26]. However, HSG is not the definitive modality for fibroid mapping; correlation with pelvic ultrasound, saline infusion sonography, MRI or hysteroscopy may be required where fertility-directed intervention is being considered [8,25,26].</w:t>
      </w:r>
    </w:p>
    <w:p>
      <w:pPr>
        <w:pStyle w:val="style0"/>
        <w:rPr/>
      </w:pPr>
      <w:r>
        <w:t>Peritubal adhesions and tubal occlusion were also frequent. This aligns with the broader African and Nigerian literature in which secondary infertility and tubal factor disease are often linked to pelvic inflammatory disease, sexually transmitted infections, post-abortal infection, puerperal sepsis and previous pelvic surgery [15-24,27-31]. HSG can suggest distal tubal disease through findings such as hydrosalpinx, loculated peritoneal spillage or absent spillage, but laparoscopy remains superior for direct visualization of endometriosis, peri-tubal adhesions and extra-tubal pelvic pathology [14,16,29-33].</w:t>
      </w:r>
    </w:p>
    <w:p>
      <w:pPr>
        <w:pStyle w:val="style0"/>
        <w:rPr/>
      </w:pPr>
      <w:r>
        <w:t>Secondary infertility accounted for more than half of indications in this cohort. This pattern is clinically important because secondary infertility often points toward acquired disease after a prior conception or delivery. The result is consistent with many Nigerian studies, including those from Lagos, Uyo, Port Harcourt and other regions, where secondary infertility commonly predominates among women referred for HSG [15,16,20-24]. Public health measures that reduce pelvic infection, unsafe abortion complications and untreated sexually transmitted infections may therefore reduce the future burden of tubal and peritubal disease.</w:t>
      </w:r>
    </w:p>
    <w:p>
      <w:pPr>
        <w:pStyle w:val="style2"/>
        <w:rPr/>
      </w:pPr>
      <w:r>
        <w:t>4.3 Relevance of HSG in current fertility care</w:t>
      </w:r>
    </w:p>
    <w:p>
      <w:pPr>
        <w:pStyle w:val="style0"/>
        <w:rPr/>
      </w:pPr>
      <w:r>
        <w:t>Modern infertility care increasingly uses a range of tubal patency tests, including HyCoSy, HyFoSy, laparoscopy with chromopertubation and hysteroscopy where indicated [4,8-11,30-34]. Nevertheless, HSG remains valuable because it is accessible, relatively inexpensive and able to provide simultaneous information on the uterine cavity and fallopian tubes [7,8,15]. Recent reviews of contrast media also highlight the evolving discussion around water-based and oil-based contrast agents, including possible fertility-enhancing effects of tubal flushing with oil-based contrast and the need to balance benefits against safety considerations [10,12,13].</w:t>
      </w:r>
    </w:p>
    <w:p>
      <w:pPr>
        <w:pStyle w:val="style0"/>
        <w:rPr/>
      </w:pPr>
      <w:r>
        <w:t>In resource-limited settings, the appropriate role of HSG is not to replace laparoscopy or hysteroscopy, but to function as a pragmatic first-line triage tool. Women with normal HSG results may proceed to evaluation for ovulatory, male-factor or unexplained infertility, while those with suspected tubal blockage, hydrosalpinx, significant adhesions or cavity-distorting lesions should be referred for targeted gynaecologic, endoscopic or assisted reproduction pathways as locally available [3-5,8,14].</w:t>
      </w:r>
    </w:p>
    <w:p>
      <w:pPr>
        <w:pStyle w:val="style2"/>
        <w:rPr/>
      </w:pPr>
      <w:r>
        <w:t>4.4 Strengths and limitations</w:t>
      </w:r>
    </w:p>
    <w:p>
      <w:pPr>
        <w:pStyle w:val="style0"/>
        <w:rPr/>
      </w:pPr>
      <w:r>
        <w:t>The study contributes recent facility-level data from Enugu metropolis and uses complete records from a clearly defined review period. It also reports confidence intervals for key proportions, improving interpretability beyond raw percentages. However, the study has important limitations. First, the retrospective design depends on the accuracy and completeness of archived reports. Second, findings were extracted from a single specialist hospital, limiting generalizability to all women in Enugu or South-East Nigeria. Third, the analysis was descriptive and could not test predictors of abnormal HSG findings or evaluate treatment outcomes. Fourth, HSG diagnoses were not routinely confirmed by laparoscopy, hysteroscopy, ultrasound or MRI, so false-positive proximal tubal obstruction and under-detection of extra-tubal pelvic pathology are possible. Finally, information on duration of infertility, parity, prior pelvic infection, previous surgery, contrast medium used and radiation dose was not available.</w:t>
      </w:r>
    </w:p>
    <w:p>
      <w:pPr>
        <w:pStyle w:val="style2"/>
        <w:rPr/>
      </w:pPr>
      <w:r>
        <w:t>4.5 Implications for practice and research</w:t>
      </w:r>
    </w:p>
    <w:p>
      <w:pPr>
        <w:pStyle w:val="style0"/>
        <w:rPr/>
      </w:pPr>
      <w:r>
        <w:t>The findings support earlier infertility evaluation, particularly before advanced reproductive age, and reinforce the need for integrated pathways linking HSG findings to appropriate clinical management. Facilities should standardize HSG request forms and reports to capture age, parity, type and duration of infertility, previous pelvic infection, prior surgery, contrast medium, procedural complications and final impression. Future multi-centre studies in South-East Nigeria should use standardized reporting, compare HSG with ultrasound, hysteroscopy or laparoscopy where available, and evaluate whether HSG findings predict treatment decisions and pregnancy outcomes.</w:t>
      </w:r>
    </w:p>
    <w:p>
      <w:pPr>
        <w:pStyle w:val="style1"/>
        <w:rPr/>
      </w:pPr>
      <w:r>
        <w:t>5. Conclusion</w:t>
      </w:r>
    </w:p>
    <w:p>
      <w:pPr>
        <w:pStyle w:val="style0"/>
        <w:rPr/>
      </w:pPr>
      <w:r>
        <w:t>Among women undergoing HSG at Good Shepherd Specialist Hospital in Enugu metropolis, abnormal utero-tubal findings were common, with uterine leiomyoma, peritubal adhesions and tubal occlusion forming the leading diagnostic pattern. Most patients were in their thirties and secondary infertility was the dominant indication. HSG remains a clinically useful first-line investigation in this setting, but its diagnostic value is maximized when linked to early fertility evaluation, infection prevention, fibroid assessment and referral pathways for confirmatory or therapeutic procedures.</w:t>
      </w:r>
    </w:p>
    <w:p>
      <w:pPr>
        <w:pStyle w:val="style1"/>
        <w:rPr/>
      </w:pPr>
      <w:r>
        <w:t>Recommendations</w:t>
      </w:r>
    </w:p>
    <w:p>
      <w:pPr>
        <w:pStyle w:val="style49"/>
        <w:spacing w:lineRule="auto" w:line="360"/>
        <w:rPr/>
      </w:pPr>
      <w:r>
        <w:t>Encourage early fertility evaluation for women who have not conceived after 12 months of regular unprotected intercourse, or after 6 months when age is 35 years or older or when risk factors are present.</w:t>
      </w:r>
    </w:p>
    <w:p>
      <w:pPr>
        <w:pStyle w:val="style49"/>
        <w:spacing w:lineRule="auto" w:line="360"/>
        <w:rPr/>
      </w:pPr>
      <w:r>
        <w:t>Strengthen reproductive health education and infection-prevention services to reduce preventable tubal damage associated with pelvic inflammatory disease, post-abortal infection and postpartum infection.</w:t>
      </w:r>
    </w:p>
    <w:p>
      <w:pPr>
        <w:pStyle w:val="style49"/>
        <w:spacing w:lineRule="auto" w:line="360"/>
        <w:rPr/>
      </w:pPr>
      <w:r>
        <w:t>Maintain HSG as an accessible first-line assessment of tubal patency and uterine cavity contour in resource-limited fertility work-up, while ensuring referral for ultrasound, hysteroscopy, laparoscopy or assisted reproduction when clinically indicated.</w:t>
      </w:r>
    </w:p>
    <w:p>
      <w:pPr>
        <w:pStyle w:val="style49"/>
        <w:spacing w:lineRule="auto" w:line="360"/>
        <w:rPr/>
      </w:pPr>
      <w:r>
        <w:t>Adopt standardized HSG reporting templates that distinguish uterine, tubal, cervical and peritoneal findings and document contrast spillage, laterality and procedural limitations.</w:t>
      </w:r>
    </w:p>
    <w:p>
      <w:pPr>
        <w:pStyle w:val="style49"/>
        <w:spacing w:lineRule="auto" w:line="360"/>
        <w:rPr/>
      </w:pPr>
      <w:r>
        <w:t>Conduct multi-centre prospective studies in South-East Nigeria to evaluate risk factors, diagnostic concordance with other modalities and pregnancy outcomes after HSG-directed care.</w:t>
      </w:r>
    </w:p>
    <w:p>
      <w:pPr>
        <w:pStyle w:val="style1"/>
        <w:rPr/>
      </w:pPr>
      <w:r>
        <w:t>Declarations</w:t>
      </w:r>
    </w:p>
    <w:p>
      <w:pPr>
        <w:pStyle w:val="style0"/>
        <w:rPr/>
      </w:pPr>
      <w:r>
        <w:t>Ethics approval and consent to participate: Retrospective record review. Insert the institutional ethics approval or waiver number before submission. The authors should confirm that all data were de-identified before analysis.</w:t>
      </w:r>
    </w:p>
    <w:p>
      <w:pPr>
        <w:pStyle w:val="style0"/>
        <w:rPr/>
      </w:pPr>
      <w:r>
        <w:t>Consent for publication: Not applicable; no identifiable patient information is included.</w:t>
      </w:r>
    </w:p>
    <w:p>
      <w:pPr>
        <w:pStyle w:val="style0"/>
        <w:rPr/>
      </w:pPr>
      <w:r>
        <w:t>Availability of data and materials: The de-identified dataset can be made available from the corresponding author upon reasonable request, subject to institutional approval.</w:t>
      </w:r>
    </w:p>
    <w:p>
      <w:pPr>
        <w:pStyle w:val="style0"/>
        <w:rPr/>
      </w:pPr>
      <w:r>
        <w:t>Competing interests: The authors declare no competing interests.</w:t>
      </w:r>
    </w:p>
    <w:p>
      <w:pPr>
        <w:pStyle w:val="style0"/>
        <w:rPr/>
      </w:pPr>
      <w:r>
        <w:t>Funding: No external funding was reported for this study.</w:t>
      </w:r>
    </w:p>
    <w:p>
      <w:pPr>
        <w:pStyle w:val="style0"/>
        <w:rPr/>
      </w:pPr>
      <w:r>
        <w:t>Author contributions: UMS conceptualized the study, extracted data and drafted the manuscript. OU contributed to study design, data verification and manuscript revision. IJ supported analysis and interpretation. OPE supervised radiological interpretation and critically revised the manuscript. All authors should review and approve the final version before submission.</w:t>
      </w:r>
    </w:p>
    <w:p>
      <w:pPr>
        <w:pStyle w:val="style0"/>
        <w:rPr/>
      </w:pPr>
      <w:r>
        <w:t>Acknowledgements: The authors acknowledge the staff of Good Shepherd Specialist Hospital, Uwani, Enugu, for facilitating access to archived HSG records. Revise this statement as appropriate before submission.</w:t>
      </w:r>
    </w:p>
    <w:p>
      <w:pPr>
        <w:pStyle w:val="style0"/>
        <w:rPr/>
      </w:pPr>
      <w:r>
        <w:t>Declaration of generative AI and AI-assisted technologies in the writing process: The authors should complete this statement according to the target Elsevier journal policy, if AI-assisted editing was used.</w:t>
      </w:r>
    </w:p>
    <w:p>
      <w:pPr>
        <w:pStyle w:val="style1"/>
        <w:rPr/>
      </w:pPr>
      <w:r>
        <w:t>References</w:t>
      </w:r>
    </w:p>
    <w:p>
      <w:pPr>
        <w:pStyle w:val="style0"/>
        <w:spacing w:lineRule="auto" w:line="240"/>
        <w:ind w:left="360" w:hanging="360"/>
        <w:rPr/>
      </w:pPr>
      <w:r>
        <w:t>[1] World Health Organization. Infertility. WHO fact sheet. 2025. Available from: https://www.who.int/news-room/fact-sheets/detail/infertility</w:t>
      </w:r>
    </w:p>
    <w:p>
      <w:pPr>
        <w:pStyle w:val="style0"/>
        <w:spacing w:lineRule="auto" w:line="240"/>
        <w:ind w:left="360" w:hanging="360"/>
        <w:rPr/>
      </w:pPr>
      <w:r>
        <w:t>[2] World Health Organization. Infertility prevalence estimates, 1990-2021. Geneva: WHO; 2023. ISBN: 978-92-4-006831-5.</w:t>
      </w:r>
    </w:p>
    <w:p>
      <w:pPr>
        <w:pStyle w:val="style0"/>
        <w:spacing w:lineRule="auto" w:line="240"/>
        <w:ind w:left="360" w:hanging="360"/>
        <w:rPr/>
      </w:pPr>
      <w:r>
        <w:t>[3] World Health Organization. Guideline for the prevention, diagnosis and treatment of infertility. Geneva: WHO; 2025. ISBN: 978-92-4-011577-4.</w:t>
      </w:r>
    </w:p>
    <w:p>
      <w:pPr>
        <w:pStyle w:val="style0"/>
        <w:spacing w:lineRule="auto" w:line="240"/>
        <w:ind w:left="360" w:hanging="360"/>
        <w:rPr/>
      </w:pPr>
      <w:r>
        <w:t>[4] Practice Committee of the American Society for Reproductive Medicine. Fertility evaluation of infertile women: a committee opinion. Fertil Steril. 2021;116:1255-1265. doi:10.1016/j.fertnstert.2021.08.038</w:t>
      </w:r>
    </w:p>
    <w:p>
      <w:pPr>
        <w:pStyle w:val="style0"/>
        <w:spacing w:lineRule="auto" w:line="240"/>
        <w:ind w:left="360" w:hanging="360"/>
        <w:rPr/>
      </w:pPr>
      <w:r>
        <w:t>[5] Romualdi D, Ata B, Bhattacharya S, et al. Evidence-based guideline: unexplained infertility. Hum Reprod. 2023;38:1881-1890. doi:10.1093/humrep/dead150</w:t>
      </w:r>
    </w:p>
    <w:p>
      <w:pPr>
        <w:pStyle w:val="style0"/>
        <w:spacing w:lineRule="auto" w:line="240"/>
        <w:ind w:left="360" w:hanging="360"/>
        <w:rPr/>
      </w:pPr>
      <w:r>
        <w:t>[6] American College of Radiology. ACR Appropriateness Criteria: Female Infertility. Reston, VA: American College of Radiology; updated 2026. Available from: https://acsearch.acr.org</w:t>
      </w:r>
    </w:p>
    <w:p>
      <w:pPr>
        <w:pStyle w:val="style0"/>
        <w:spacing w:lineRule="auto" w:line="240"/>
        <w:ind w:left="360" w:hanging="360"/>
        <w:rPr/>
      </w:pPr>
      <w:r>
        <w:t>[7] Simpson WL Jr, Beitia LG, Mester J. Hysterosalpingography: a reemerging study. Radiographics. 2006;26:419-431. doi:10.1148/rg.262055109</w:t>
      </w:r>
    </w:p>
    <w:p>
      <w:pPr>
        <w:pStyle w:val="style0"/>
        <w:spacing w:lineRule="auto" w:line="240"/>
        <w:ind w:left="360" w:hanging="360"/>
        <w:rPr/>
      </w:pPr>
      <w:r>
        <w:t>[8] Kaproth-Joslin K, Dogra V. Imaging of female infertility: a pictorial guide to the hysterosalpingography, ultrasonography, and magnetic resonance imaging findings of congenital and acquired causes of female infertility. Radiol Clin North Am. 2013;51:967-981. doi:10.1016/j.rcl.2013.07.005</w:t>
      </w:r>
    </w:p>
    <w:p>
      <w:pPr>
        <w:pStyle w:val="style0"/>
        <w:spacing w:lineRule="auto" w:line="240"/>
        <w:ind w:left="360" w:hanging="360"/>
        <w:rPr/>
      </w:pPr>
      <w:r>
        <w:t>[9] Wong SC, Yung KS, Chan RLS, Luk WH. Hysterosalpingographic findings from uterus to peritoneal cavity: a pictorial essay. Hong Kong J Radiol. 2023;26:90-98.</w:t>
      </w:r>
    </w:p>
    <w:p>
      <w:pPr>
        <w:pStyle w:val="style0"/>
        <w:spacing w:lineRule="auto" w:line="240"/>
        <w:ind w:left="360" w:hanging="360"/>
        <w:rPr/>
      </w:pPr>
      <w:r>
        <w:t>[10] Glockner JF, et al. Contrast media for hysterosalpingography: systematic search and review providing new guidelines by the Contrast Media Safety Committee of the European Society of Urogenital Radiology. Eur Radiol. 2024. doi:10.1007/s00330-024-10707-6</w:t>
      </w:r>
    </w:p>
    <w:p>
      <w:pPr>
        <w:pStyle w:val="style0"/>
        <w:spacing w:lineRule="auto" w:line="240"/>
        <w:ind w:left="360" w:hanging="360"/>
        <w:rPr/>
      </w:pPr>
      <w:r>
        <w:t>[11] Xydias EM, Emmanouil V, Koutini M, et al. Comparison of HyFoSy, HyCoSy and X-ray hysterosalpingography in the assessment of tubal patency in women with infertility: a systematic review and meta-analysis. Med Sci. 2025;13:168. doi:10.3390/medsci13030168</w:t>
      </w:r>
    </w:p>
    <w:p>
      <w:pPr>
        <w:pStyle w:val="style0"/>
        <w:spacing w:lineRule="auto" w:line="240"/>
        <w:ind w:left="360" w:hanging="360"/>
        <w:rPr/>
      </w:pPr>
      <w:r>
        <w:t>[12] Dreyer K, van Rijswijk J, Mijatovic V, et al. Oil-based or water-based contrast for hysterosalpingography in infertile women. N Engl J Med. 2017;376:2043-2052. doi:10.1056/NEJMoa1612337</w:t>
      </w:r>
    </w:p>
    <w:p>
      <w:pPr>
        <w:pStyle w:val="style0"/>
        <w:spacing w:lineRule="auto" w:line="240"/>
        <w:ind w:left="360" w:hanging="360"/>
        <w:rPr/>
      </w:pPr>
      <w:r>
        <w:t>[13] Mohiyiddeen L, Hardiman A, Fitzgerald C, et al. Tubal flushing for subfertility. Cochrane Database Syst Rev. 2015;2015:CD003718. doi:10.1002/14651858.CD003718.pub4</w:t>
      </w:r>
    </w:p>
    <w:p>
      <w:pPr>
        <w:pStyle w:val="style0"/>
        <w:spacing w:lineRule="auto" w:line="240"/>
        <w:ind w:left="360" w:hanging="360"/>
        <w:rPr/>
      </w:pPr>
      <w:r>
        <w:t>[14] Wang R, van Welie N, van Rijswijk J, et al. Effectiveness on fertility outcome of tubal flushing with different contrast media: systematic review and network meta-analysis. Ultrasound Obstet Gynecol. 2019;54:172-181. doi:10.1002/uog.20238</w:t>
      </w:r>
    </w:p>
    <w:p>
      <w:pPr>
        <w:pStyle w:val="style0"/>
        <w:spacing w:lineRule="auto" w:line="240"/>
        <w:ind w:left="360" w:hanging="360"/>
        <w:rPr/>
      </w:pPr>
      <w:r>
        <w:t>[15] Makwe CC, Ugwu AO, Sunmonu OH, Yusuf-Awesu SA, Ani-Ugwu NK, Olumakinwa OE. Hysterosalpingography findings of female partners of infertile couple attending fertility clinic at Lagos University Teaching Hospital. Pan Afr Med J. 2021;40:223. doi:10.11604/pamj.2021.40.223.29890</w:t>
      </w:r>
    </w:p>
    <w:p>
      <w:pPr>
        <w:pStyle w:val="style0"/>
        <w:spacing w:lineRule="auto" w:line="240"/>
        <w:ind w:left="360" w:hanging="360"/>
        <w:rPr/>
      </w:pPr>
      <w:r>
        <w:t>[16] Adedigba JA, Idowu BM, Hermans SP, Ibitoye BO, Fawole O. The relationship between hysterosalpingography findings and female infertility in a Nigerian population. Pol J Radiol. 2020;85:e188-e195. doi:10.5114/pjr.2020.94488</w:t>
      </w:r>
    </w:p>
    <w:p>
      <w:pPr>
        <w:pStyle w:val="style0"/>
        <w:spacing w:lineRule="auto" w:line="240"/>
        <w:ind w:left="360" w:hanging="360"/>
        <w:rPr/>
      </w:pPr>
      <w:r>
        <w:t>[17] Yahya A, Adesiyun A. Pattern of hysterosalpingographic findings among women with infertility in Ahmadu Bello University Teaching Hospital, Zaria, Nigeria. Ann Afr Med Res. 2024;7. doi:10.4081/aamr.2024.467</w:t>
      </w:r>
    </w:p>
    <w:p>
      <w:pPr>
        <w:pStyle w:val="style0"/>
        <w:spacing w:lineRule="auto" w:line="240"/>
        <w:ind w:left="360" w:hanging="360"/>
        <w:rPr/>
      </w:pPr>
      <w:r>
        <w:t>[18] Botwe BO, Bamfo-Quaicoe K, Hunu E, Anim-Sampong S. Hysterosalpingographic findings among Ghanaian women undergoing infertility work-up: a study at the Korle-Bu Teaching Hospital. Fertil Res Pract. 2015;1:9. doi:10.1186/s40738-015-0001-6</w:t>
      </w:r>
    </w:p>
    <w:p>
      <w:pPr>
        <w:pStyle w:val="style0"/>
        <w:spacing w:lineRule="auto" w:line="240"/>
        <w:ind w:left="360" w:hanging="360"/>
        <w:rPr/>
      </w:pPr>
      <w:r>
        <w:t>[19] Kiridi EK, Oriji PC, Ugwoegbu JU, Abasi IJ. Hysterosalpingography findings among women presenting for infertility evaluation in Bayelsa State, South-South Nigeria. J Adv Med Med Res. 2022;34:7-17.</w:t>
      </w:r>
    </w:p>
    <w:p>
      <w:pPr>
        <w:pStyle w:val="style0"/>
        <w:spacing w:lineRule="auto" w:line="240"/>
        <w:ind w:left="360" w:hanging="360"/>
        <w:rPr/>
      </w:pPr>
      <w:r>
        <w:t>[20] Abdu HD, Mohammed KS, Aliyu AH, Mohammed S. Pattern of findings in women undergoing hysterosalpingography (HSG) in Kano Metropolis, Nigeria. Dutse J Pure Appl Sci. 2019;5:65-73.</w:t>
      </w:r>
    </w:p>
    <w:p>
      <w:pPr>
        <w:pStyle w:val="style0"/>
        <w:spacing w:lineRule="auto" w:line="240"/>
        <w:ind w:left="360" w:hanging="360"/>
        <w:rPr/>
      </w:pPr>
      <w:r>
        <w:t>[21] Akagbue VN, Nonye-Enyidah EI. Hysterosalpingographic indications and findings among women presenting to radiology department of Rivers State University Teaching Hospital. J Adv Med Pharm Sci. 2022;24:14-24.</w:t>
      </w:r>
    </w:p>
    <w:p>
      <w:pPr>
        <w:pStyle w:val="style0"/>
        <w:spacing w:lineRule="auto" w:line="240"/>
        <w:ind w:left="360" w:hanging="360"/>
        <w:rPr/>
      </w:pPr>
      <w:r>
        <w:t>[22] Moi EE, Oyo-Ita AE, Akpan US. Hysterosalpingographic findings in infertile women at the University of Uyo Teaching Hospital, Nigeria. Ibom Med J. 2017;10:21-27.</w:t>
      </w:r>
    </w:p>
    <w:p>
      <w:pPr>
        <w:pStyle w:val="style0"/>
        <w:spacing w:lineRule="auto" w:line="240"/>
        <w:ind w:left="360" w:hanging="360"/>
        <w:rPr/>
      </w:pPr>
      <w:r>
        <w:t>[23] Okafor CO, Okafor CI, Okpala OC, Umeh E. The pattern of hysterosalpingographic findings in women being investigated for infertility in Nnewi, Nigeria. Niger J Clin Pract. 2010;13:264-267.</w:t>
      </w:r>
    </w:p>
    <w:p>
      <w:pPr>
        <w:pStyle w:val="style0"/>
        <w:spacing w:lineRule="auto" w:line="240"/>
        <w:ind w:left="360" w:hanging="360"/>
        <w:rPr/>
      </w:pPr>
      <w:r>
        <w:t>[24] Bukar M, Mustapha Z, Takai UI, Tahir A. Hysterosalpingographic findings in infertile women: a seven year review. Niger J Clin Pract. 2011;14:168-170. doi:10.4103/1119-3077.84009</w:t>
      </w:r>
    </w:p>
    <w:p>
      <w:pPr>
        <w:pStyle w:val="style0"/>
        <w:spacing w:lineRule="auto" w:line="240"/>
        <w:ind w:left="360" w:hanging="360"/>
        <w:rPr/>
      </w:pPr>
      <w:r>
        <w:t>[25] Onwuchekwa CR, Oriji VK. Hysterosalpingographic pattern of infertility in women of reproductive age. J Hum Reprod Sci. 2017;10:178-184. doi:10.4103/jhrs.JHRS_121_16</w:t>
      </w:r>
    </w:p>
    <w:p>
      <w:pPr>
        <w:pStyle w:val="style0"/>
        <w:spacing w:lineRule="auto" w:line="240"/>
        <w:ind w:left="360" w:hanging="360"/>
        <w:rPr/>
      </w:pPr>
      <w:r>
        <w:t>[26] Danfulani M, Ahmed S, Haruna Y. Hysterosalpingographic findings in women with infertility in Sokoto, North Western Nigeria. Afr J Med Health Sci. 2014;13:19-23.</w:t>
      </w:r>
    </w:p>
    <w:p>
      <w:pPr>
        <w:pStyle w:val="style0"/>
        <w:spacing w:lineRule="auto" w:line="240"/>
        <w:ind w:left="360" w:hanging="360"/>
        <w:rPr/>
      </w:pPr>
      <w:r>
        <w:t>[27] Al-Jaroudi D, Aldughayyim AA, Alshamry WS, Alrashidi AS, Bahnassy AA. Hysterosalpingogram findings among subfertile women undergoing assisted reproductive technology. Int J Womens Health. 2018;10:431-436. doi:10.2147/IJWH.S169672</w:t>
      </w:r>
    </w:p>
    <w:p>
      <w:pPr>
        <w:pStyle w:val="style0"/>
        <w:spacing w:lineRule="auto" w:line="240"/>
        <w:ind w:left="360" w:hanging="360"/>
        <w:rPr/>
      </w:pPr>
      <w:r>
        <w:t>[28] Toufig H, Benameur T, Twfieg ME, Omer H, El-Musharaf T. Evaluation of hysterosalpingographic findings among patients presenting with infertility. Saudi J Biol Sci. 2020;27:2876-2882. doi:10.1016/j.sjbs.2020.08.014</w:t>
      </w:r>
    </w:p>
    <w:p>
      <w:pPr>
        <w:pStyle w:val="style0"/>
        <w:spacing w:lineRule="auto" w:line="240"/>
        <w:ind w:left="360" w:hanging="360"/>
        <w:rPr/>
      </w:pPr>
      <w:r>
        <w:t>[29] Foroozanfard F, Sadat Z. Diagnostic value of hysterosalpingography and laparoscopy for tubal patency in infertile women. Nurs Midwifery Stud. 2013;2:188-192.</w:t>
      </w:r>
    </w:p>
    <w:p>
      <w:pPr>
        <w:pStyle w:val="style0"/>
        <w:spacing w:lineRule="auto" w:line="240"/>
        <w:ind w:left="360" w:hanging="360"/>
        <w:rPr/>
      </w:pPr>
      <w:r>
        <w:t>[30] Maheux-Lacroix S, Boutin A, Moore L, et al. Hysterosalpingosonography for diagnosing tubal occlusion in subfertile women: a systematic review with meta-analysis. Hum Reprod. 2014;29:953-963. doi:10.1093/humrep/deu024</w:t>
      </w:r>
    </w:p>
    <w:p>
      <w:pPr>
        <w:pStyle w:val="style0"/>
        <w:spacing w:lineRule="auto" w:line="240"/>
        <w:ind w:left="360" w:hanging="360"/>
        <w:rPr/>
      </w:pPr>
      <w:r>
        <w:t>[31] Ngowa JDK, Kasia JM, Georges NT, Nkongo V, Sone C, Fongang E. Comparison of hysterosalpingograms with laparoscopy in the diagnosis of tubal factor infertility at the Yaounde General Hospital, Cameroon. Pan Afr Med J. 2015;22:264. doi:10.11604/pamj.2015.22.264.8029</w:t>
      </w:r>
    </w:p>
    <w:p>
      <w:pPr>
        <w:pStyle w:val="style0"/>
        <w:spacing w:lineRule="auto" w:line="240"/>
        <w:ind w:left="360" w:hanging="360"/>
        <w:rPr/>
      </w:pPr>
      <w:r>
        <w:t>[32] Wang X, Huang X, Xiao S, et al. Comparison of hysterosalpingography with laparoscopy in the diagnosis of tubal factor of female infertility. Front Med. 2021;8:720401. doi:10.3389/fmed.2021.720401</w:t>
      </w:r>
    </w:p>
    <w:p>
      <w:pPr>
        <w:pStyle w:val="style0"/>
        <w:spacing w:lineRule="auto" w:line="240"/>
        <w:ind w:left="360" w:hanging="360"/>
        <w:rPr/>
      </w:pPr>
      <w:r>
        <w:t>[33] Chauhan M, et al. Comparison of hysterosalpingography and laparoscopy in the diagnosis of tubal pathology among infertile women. J Obstet Gynaecol India. 2022. doi:10.1007/s13224-022-01728-6</w:t>
      </w:r>
    </w:p>
    <w:p>
      <w:pPr>
        <w:pStyle w:val="style0"/>
        <w:spacing w:lineRule="auto" w:line="240"/>
        <w:ind w:left="360" w:hanging="360"/>
        <w:rPr/>
      </w:pPr>
      <w:r>
        <w:t>[34] Rana P, et al. Diagnostic accuracy of hysterosalpingography and laparoscopy in tubal patency among infertile women. Int J Reprod Contracept Obstet Gynecol. 2021;10:120-125.</w:t>
      </w:r>
    </w:p>
    <w:p>
      <w:pPr>
        <w:pStyle w:val="style0"/>
        <w:spacing w:lineRule="auto" w:line="240"/>
        <w:ind w:left="360" w:hanging="360"/>
        <w:rPr/>
      </w:pPr>
      <w:r>
        <w:t>[35] von Elm E, Altman DG, Egger M, Pocock SJ, Gotzsche PC, Vandenbroucke JP; STROBE Initiative. The Strengthening the Reporting of Observational Studies in Epidemiology (STROBE) statement. PLoS Med. 2007;4:e296. doi:10.1371/journal.pmed.0040296</w:t>
      </w:r>
    </w:p>
    <w:p>
      <w:pPr>
        <w:pStyle w:val="style0"/>
        <w:spacing w:lineRule="auto" w:line="240"/>
        <w:ind w:left="360" w:hanging="360"/>
        <w:rPr/>
      </w:pPr>
      <w:r>
        <w:t>[36] Stewart EA, Laughlin-Tommaso SK, Catherino WH, Lalitkumar S, Gupta D, Vollenhoven B. Uterine fibroids. Nat Rev Dis Primers. 2016;2:16043. doi:10.1038/nrdp.2016.43</w:t>
      </w:r>
    </w:p>
    <w:p>
      <w:pPr>
        <w:pStyle w:val="style0"/>
        <w:spacing w:lineRule="auto" w:line="240"/>
        <w:ind w:left="360" w:hanging="360"/>
        <w:rPr/>
      </w:pPr>
      <w:r>
        <w:t>[37] Don EE, Middelkoop MA, Hehenkamp WJK, et al. Uterine fibroid-related infertility: mechanisms and management. Fertil Steril. 2024;121:535-546. doi:10.1016/j.fertnstert.2024.01.170</w:t>
      </w:r>
    </w:p>
    <w:p>
      <w:pPr>
        <w:pStyle w:val="style0"/>
        <w:spacing w:lineRule="auto" w:line="240"/>
        <w:ind w:left="360" w:hanging="360"/>
        <w:rPr/>
      </w:pPr>
      <w:r>
        <w:t>[38] Workowski KA, Bachmann LH, Chan PA, et al. Sexually transmitted infections treatment guidelines, 2021. MMWR Recomm Rep. 2021;70:1-187. doi:10.15585/mmwr.rr7004a1</w:t>
      </w:r>
    </w:p>
    <w:p>
      <w:pPr>
        <w:pStyle w:val="style0"/>
        <w:spacing w:lineRule="auto" w:line="240"/>
        <w:ind w:left="360" w:hanging="360"/>
        <w:rPr/>
      </w:pPr>
      <w:r>
        <w:t>[39] Jennings LK, Krywko DM. Pelvic Inflammatory Disease. In: StatPearls. Treasure Island (FL): StatPearls Publishing; 2024.</w:t>
      </w:r>
    </w:p>
    <w:p>
      <w:pPr>
        <w:pStyle w:val="style0"/>
        <w:spacing w:lineRule="auto" w:line="240"/>
        <w:ind w:left="360" w:hanging="360"/>
        <w:rPr/>
      </w:pPr>
      <w:r>
        <w:t>[40] Yusuf L, Irurhe NK, Olowoyeye OA, et al. Hysterosalpingography findings among women presenting for gynaecological imaging in Ado-Ekiti, South-Western Nigeria. Int J Reprod Contracept Obstet Gynecol. 2017;6:538-543.</w:t>
      </w:r>
    </w:p>
    <w:sectPr>
      <w:footerReference w:type="default" r:id="rId2"/>
      <w:pgSz w:w="12240" w:h="15840" w:orient="portrait"/>
      <w:pgMar w:top="1440" w:right="1440" w:bottom="1440" w:left="1440" w:header="720" w:footer="720" w:gutter="0"/>
      <w:lnNumType w:countBy="1" w:start="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0000000000000000000"/>
    <w:charset w:val="02"/>
    <w:family w:val="auto"/>
    <w:pitch w:val="variable"/>
    <w:sig w:usb0="00000000" w:usb1="10000000" w:usb2="00000000" w:usb3="00000000" w:csb0="80000000" w:csb1="00000000"/>
  </w:font>
  <w:font w:name="Times New Roman">
    <w:altName w:val="Times New Roman"/>
    <w:panose1 w:val="02020603050000020304"/>
    <w:charset w:val="00"/>
    <w:family w:val="auto"/>
    <w:pitch w:val="variable"/>
    <w:sig w:usb0="E0002AFF" w:usb1="C0007841" w:usb2="00000009" w:usb3="00000000" w:csb0="000001FF" w:csb1="00000000"/>
  </w:font>
  <w:font w:name="Cambria">
    <w:altName w:val="Cambria"/>
    <w:panose1 w:val="02040503050000030204"/>
    <w:charset w:val="00"/>
    <w:family w:val="auto"/>
    <w:pitch w:val="variable"/>
    <w:sig w:usb0="E00002FF" w:usb1="400004FF" w:usb2="00000000" w:usb3="00000000" w:csb0="0000019F" w:csb1="00000000"/>
  </w:font>
  <w:font w:name="ＭＳ 明朝">
    <w:altName w:val="ＭＳ 明朝"/>
    <w:panose1 w:val="00000000000000000000"/>
    <w:charset w:val="80"/>
    <w:family w:val="roman"/>
    <w:pitch w:val="fixed"/>
    <w:sig w:usb0="00000001" w:usb1="08070000" w:usb2="00000010" w:usb3="00000000" w:csb0="00020000" w:csb1="00000000"/>
  </w:font>
  <w:font w:name="Calibri">
    <w:altName w:val="Calibri"/>
    <w:panose1 w:val="020f0502020000030204"/>
    <w:charset w:val="00"/>
    <w:family w:val="auto"/>
    <w:pitch w:val="variable"/>
    <w:sig w:usb0="E10002FF" w:usb1="4000ACFF" w:usb2="00000009" w:usb3="00000000" w:csb0="0000019F" w:csb1="00000000"/>
  </w:font>
  <w:font w:name="ＭＳ ゴシック">
    <w:altName w:val="ＭＳ ゴシック"/>
    <w:panose1 w:val="00000000000000000000"/>
    <w:charset w:val="80"/>
    <w:family w:val="modern"/>
    <w:pitch w:val="fixed"/>
    <w:sig w:usb0="00000001" w:usb1="08070000" w:usb2="00000010" w:usb3="00000000" w:csb0="00020000" w:csb1="00000000"/>
  </w:font>
  <w:font w:name="Courier">
    <w:altName w:val="Courier"/>
    <w:panose1 w:val="02000500000000000000"/>
    <w:charset w:val="00"/>
    <w:family w:val="auto"/>
    <w:pitch w:val="variable"/>
    <w:sig w:usb0="00000003" w:usb1="00000000" w:usb2="00000000" w:usb3="00000000" w:csb0="00000001" w:csb1="00000000"/>
  </w:font>
  <w:font w:name="Arial">
    <w:altName w:val="Arial"/>
    <w:panose1 w:val="020b0604020000020204"/>
    <w:charset w:val="00"/>
    <w:family w:val="auto"/>
    <w:pitch w:val="variable"/>
    <w:sig w:usb0="E0002AFF" w:usb1="C0007843" w:usb2="00000009" w:usb3="00000000" w:csb0="000001FF"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jc w:val="center"/>
      <w:rPr/>
    </w:pPr>
    <w:r>
      <w:rPr/>
      <w:fldChar w:fldCharType="begin"/>
    </w:r>
    <w:r>
      <w:instrText xml:space="preserve"> PAGE </w:instrText>
    </w:r>
    <w:r>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C310EC42"/>
    <w:lvl w:ilvl="0">
      <w:start w:val="1"/>
      <w:numFmt w:val="decimal"/>
      <w:lvlText w:val="%1."/>
      <w:lvlJc w:val="left"/>
      <w:pPr>
        <w:tabs>
          <w:tab w:val="left" w:leader="none" w:pos="1800"/>
        </w:tabs>
        <w:ind w:left="1800" w:hanging="360"/>
      </w:pPr>
    </w:lvl>
  </w:abstractNum>
  <w:abstractNum w:abstractNumId="1">
    <w:nsid w:val="00000001"/>
    <w:multiLevelType w:val="singleLevel"/>
    <w:tmpl w:val="E4089024"/>
    <w:lvl w:ilvl="0">
      <w:start w:val="1"/>
      <w:numFmt w:val="decimal"/>
      <w:lvlText w:val="%1."/>
      <w:lvlJc w:val="left"/>
      <w:pPr>
        <w:tabs>
          <w:tab w:val="left" w:leader="none" w:pos="1440"/>
        </w:tabs>
        <w:ind w:left="1440" w:hanging="360"/>
      </w:pPr>
    </w:lvl>
  </w:abstractNum>
  <w:abstractNum w:abstractNumId="2">
    <w:nsid w:val="00000002"/>
    <w:multiLevelType w:val="singleLevel"/>
    <w:tmpl w:val="FB12693A"/>
    <w:lvl w:ilvl="0">
      <w:start w:val="1"/>
      <w:numFmt w:val="decimal"/>
      <w:pStyle w:val="style59"/>
      <w:lvlText w:val="%1."/>
      <w:lvlJc w:val="left"/>
      <w:pPr>
        <w:tabs>
          <w:tab w:val="left" w:leader="none" w:pos="1080"/>
        </w:tabs>
        <w:ind w:left="1080" w:hanging="360"/>
      </w:pPr>
    </w:lvl>
  </w:abstractNum>
  <w:abstractNum w:abstractNumId="3">
    <w:nsid w:val="00000003"/>
    <w:multiLevelType w:val="singleLevel"/>
    <w:tmpl w:val="38441652"/>
    <w:lvl w:ilvl="0">
      <w:start w:val="1"/>
      <w:numFmt w:val="decimal"/>
      <w:pStyle w:val="style58"/>
      <w:lvlText w:val="%1."/>
      <w:lvlJc w:val="left"/>
      <w:pPr>
        <w:tabs>
          <w:tab w:val="left" w:leader="none" w:pos="720"/>
        </w:tabs>
        <w:ind w:left="720" w:hanging="360"/>
      </w:pPr>
    </w:lvl>
  </w:abstractNum>
  <w:abstractNum w:abstractNumId="4">
    <w:nsid w:val="00000004"/>
    <w:multiLevelType w:val="singleLevel"/>
    <w:tmpl w:val="171AC3A4"/>
    <w:lvl w:ilvl="0">
      <w:start w:val="1"/>
      <w:numFmt w:val="bullet"/>
      <w:lvlText w:val=""/>
      <w:lvlJc w:val="left"/>
      <w:pPr>
        <w:tabs>
          <w:tab w:val="left" w:leader="none" w:pos="1440"/>
        </w:tabs>
        <w:ind w:left="1440" w:hanging="360"/>
      </w:pPr>
      <w:rPr>
        <w:rFonts w:ascii="Symbol" w:hAnsi="Symbol" w:hint="default"/>
      </w:rPr>
    </w:lvl>
  </w:abstractNum>
  <w:abstractNum w:abstractNumId="5">
    <w:nsid w:val="00000005"/>
    <w:multiLevelType w:val="singleLevel"/>
    <w:tmpl w:val="F3EAFDEC"/>
    <w:lvl w:ilvl="0">
      <w:start w:val="1"/>
      <w:numFmt w:val="bullet"/>
      <w:pStyle w:val="style55"/>
      <w:lvlText w:val=""/>
      <w:lvlJc w:val="left"/>
      <w:pPr>
        <w:tabs>
          <w:tab w:val="left" w:leader="none" w:pos="1080"/>
        </w:tabs>
        <w:ind w:left="1080" w:hanging="360"/>
      </w:pPr>
      <w:rPr>
        <w:rFonts w:ascii="Symbol" w:hAnsi="Symbol" w:hint="default"/>
      </w:rPr>
    </w:lvl>
  </w:abstractNum>
  <w:abstractNum w:abstractNumId="6">
    <w:nsid w:val="00000006"/>
    <w:multiLevelType w:val="singleLevel"/>
    <w:tmpl w:val="3D1EFFD4"/>
    <w:lvl w:ilvl="0">
      <w:start w:val="1"/>
      <w:numFmt w:val="bullet"/>
      <w:pStyle w:val="style54"/>
      <w:lvlText w:val=""/>
      <w:lvlJc w:val="left"/>
      <w:pPr>
        <w:tabs>
          <w:tab w:val="left" w:leader="none" w:pos="720"/>
        </w:tabs>
        <w:ind w:left="720" w:hanging="360"/>
      </w:pPr>
      <w:rPr>
        <w:rFonts w:ascii="Symbol" w:hAnsi="Symbol" w:hint="default"/>
      </w:rPr>
    </w:lvl>
  </w:abstractNum>
  <w:abstractNum w:abstractNumId="7">
    <w:nsid w:val="00000007"/>
    <w:multiLevelType w:val="singleLevel"/>
    <w:tmpl w:val="D0A62B40"/>
    <w:lvl w:ilvl="0">
      <w:start w:val="1"/>
      <w:numFmt w:val="decimal"/>
      <w:pStyle w:val="style49"/>
      <w:lvlText w:val="%1."/>
      <w:lvlJc w:val="left"/>
      <w:pPr>
        <w:tabs>
          <w:tab w:val="left" w:leader="none" w:pos="360"/>
        </w:tabs>
        <w:ind w:left="360" w:hanging="360"/>
      </w:pPr>
    </w:lvl>
  </w:abstractNum>
  <w:abstractNum w:abstractNumId="8">
    <w:nsid w:val="00000008"/>
    <w:multiLevelType w:val="singleLevel"/>
    <w:tmpl w:val="29761A62"/>
    <w:lvl w:ilvl="0">
      <w:start w:val="1"/>
      <w:numFmt w:val="bullet"/>
      <w:pStyle w:val="style48"/>
      <w:lvlText w:val=""/>
      <w:lvlJc w:val="left"/>
      <w:pPr>
        <w:tabs>
          <w:tab w:val="left" w:leader="none" w:pos="360"/>
        </w:tabs>
        <w:ind w:left="360" w:hanging="360"/>
      </w:pPr>
      <w:rPr>
        <w:rFonts w:ascii="Symbol" w:hAnsi="Symbol" w:hint="default"/>
      </w:rPr>
    </w:lvl>
  </w:abstractNum>
  <w:num w:numId="1">
    <w:abstractNumId w:val="8"/>
  </w:num>
  <w:num w:numId="2">
    <w:abstractNumId w:val="6"/>
  </w:num>
  <w:num w:numId="3">
    <w:abstractNumId w:val="5"/>
  </w:num>
  <w:num w:numId="4">
    <w:abstractNumId w:val="7"/>
  </w:num>
  <w:num w:numId="5">
    <w:abstractNumId w:val="3"/>
  </w:num>
  <w:num w:numId="6">
    <w:abstractNumId w:val="2"/>
  </w:num>
  <w:num w:numId="7">
    <w:abstractNumId w:val="4"/>
  </w:num>
  <w:num w:numId="8">
    <w:abstractNumId w:val="1"/>
  </w:num>
  <w:num w:numId="9">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val="bestFit"/>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mbria" w:cs="宋体" w:eastAsia="ＭＳ 明朝" w:hAnsi="Cambria"/>
        <w:sz w:val="22"/>
        <w:szCs w:val="22"/>
        <w:lang w:val="en-US" w:bidi="ar-SA" w:eastAsia="en-US"/>
      </w:rPr>
    </w:rPrDefault>
    <w:pPrDefault>
      <w:pPr>
        <w:spacing w:after="200" w:lineRule="auto" w:line="276"/>
      </w:pPr>
    </w:pPrDefault>
  </w:docDefaults>
  <w:style w:type="paragraph" w:default="1" w:styleId="style0">
    <w:name w:val="Normal"/>
    <w:next w:val="style0"/>
    <w:qFormat/>
    <w:pPr>
      <w:spacing w:after="120" w:lineRule="auto" w:line="360"/>
    </w:pPr>
    <w:rPr>
      <w:rFonts w:ascii="Times New Roman" w:eastAsia="Times New Roman" w:hAnsi="Times New Roman"/>
      <w:sz w:val="24"/>
    </w:rPr>
  </w:style>
  <w:style w:type="paragraph" w:styleId="style31">
    <w:name w:val="header"/>
    <w:basedOn w:val="style0"/>
    <w:next w:val="style31"/>
    <w:link w:val="style4097"/>
    <w:uiPriority w:val="99"/>
    <w:pPr>
      <w:tabs>
        <w:tab w:val="center" w:leader="none" w:pos="4680"/>
        <w:tab w:val="right" w:leader="none" w:pos="9360"/>
      </w:tabs>
      <w:spacing w:after="0" w:lineRule="auto" w:line="240"/>
    </w:pPr>
    <w:rPr/>
  </w:style>
  <w:style w:type="character" w:customStyle="1" w:styleId="style4097">
    <w:name w:val="Header Char_adc8f714-1438-44df-bb1d-4c8c99276e5f"/>
    <w:basedOn w:val="style65"/>
    <w:next w:val="style4097"/>
    <w:link w:val="style31"/>
    <w:uiPriority w:val="99"/>
  </w:style>
  <w:style w:type="paragraph" w:styleId="style32">
    <w:name w:val="footer"/>
    <w:basedOn w:val="style0"/>
    <w:next w:val="style32"/>
    <w:link w:val="style4098"/>
    <w:uiPriority w:val="99"/>
    <w:pPr>
      <w:tabs>
        <w:tab w:val="center" w:leader="none" w:pos="4680"/>
        <w:tab w:val="right" w:leader="none" w:pos="9360"/>
      </w:tabs>
      <w:spacing w:after="0" w:lineRule="auto" w:line="240"/>
    </w:pPr>
    <w:rPr/>
  </w:style>
  <w:style w:type="character" w:customStyle="1" w:styleId="style4098">
    <w:name w:val="Footer Char_5d3983a6-8798-40b3-8b62-25be93950c65"/>
    <w:basedOn w:val="style65"/>
    <w:next w:val="style4098"/>
    <w:link w:val="style32"/>
    <w:uiPriority w:val="99"/>
  </w:style>
  <w:style w:type="paragraph" w:styleId="style1">
    <w:name w:val="heading 1"/>
    <w:basedOn w:val="style0"/>
    <w:next w:val="style0"/>
    <w:link w:val="style4099"/>
    <w:qFormat/>
    <w:uiPriority w:val="9"/>
    <w:pPr>
      <w:keepNext/>
      <w:keepLines/>
      <w:spacing w:before="480" w:after="0"/>
      <w:outlineLvl w:val="0"/>
    </w:pPr>
    <w:rPr>
      <w:rFonts w:ascii="Calibri" w:cs="宋体" w:eastAsia="ＭＳ ゴシック" w:hAnsi="Calibri"/>
      <w:b/>
      <w:bCs/>
      <w:color w:val="365f91"/>
      <w:sz w:val="28"/>
      <w:szCs w:val="28"/>
    </w:rPr>
  </w:style>
  <w:style w:type="paragraph" w:styleId="style2">
    <w:name w:val="heading 2"/>
    <w:basedOn w:val="style0"/>
    <w:next w:val="style0"/>
    <w:link w:val="style4100"/>
    <w:qFormat/>
    <w:uiPriority w:val="9"/>
    <w:pPr>
      <w:keepNext/>
      <w:keepLines/>
      <w:spacing w:before="200" w:after="0"/>
      <w:outlineLvl w:val="1"/>
    </w:pPr>
    <w:rPr>
      <w:rFonts w:ascii="Calibri" w:cs="宋体" w:eastAsia="ＭＳ ゴシック" w:hAnsi="Calibri"/>
      <w:b/>
      <w:bCs/>
      <w:color w:val="4f81bd"/>
      <w:sz w:val="24"/>
      <w:szCs w:val="26"/>
    </w:rPr>
  </w:style>
  <w:style w:type="paragraph" w:styleId="style3">
    <w:name w:val="heading 3"/>
    <w:basedOn w:val="style0"/>
    <w:next w:val="style0"/>
    <w:link w:val="style4101"/>
    <w:qFormat/>
    <w:uiPriority w:val="9"/>
    <w:pPr>
      <w:keepNext/>
      <w:keepLines/>
      <w:spacing w:before="200" w:after="0"/>
      <w:outlineLvl w:val="2"/>
    </w:pPr>
    <w:rPr>
      <w:rFonts w:ascii="Calibri" w:cs="宋体" w:eastAsia="ＭＳ ゴシック" w:hAnsi="Calibri"/>
      <w:b/>
      <w:bCs/>
      <w:color w:val="4f81bd"/>
    </w:rPr>
  </w:style>
  <w:style w:type="paragraph" w:styleId="style4">
    <w:name w:val="heading 4"/>
    <w:basedOn w:val="style0"/>
    <w:next w:val="style0"/>
    <w:link w:val="style4109"/>
    <w:qFormat/>
    <w:uiPriority w:val="9"/>
    <w:pPr>
      <w:keepNext/>
      <w:keepLines/>
      <w:spacing w:before="200" w:after="0"/>
      <w:outlineLvl w:val="3"/>
    </w:pPr>
    <w:rPr>
      <w:rFonts w:ascii="Calibri" w:cs="宋体" w:eastAsia="ＭＳ ゴシック" w:hAnsi="Calibri"/>
      <w:b/>
      <w:bCs/>
      <w:i/>
      <w:iCs/>
      <w:color w:val="4f81bd"/>
    </w:rPr>
  </w:style>
  <w:style w:type="paragraph" w:styleId="style5">
    <w:name w:val="heading 5"/>
    <w:basedOn w:val="style0"/>
    <w:next w:val="style0"/>
    <w:link w:val="style4110"/>
    <w:qFormat/>
    <w:uiPriority w:val="9"/>
    <w:pPr>
      <w:keepNext/>
      <w:keepLines/>
      <w:spacing w:before="200" w:after="0"/>
      <w:outlineLvl w:val="4"/>
    </w:pPr>
    <w:rPr>
      <w:rFonts w:ascii="Calibri" w:cs="宋体" w:eastAsia="ＭＳ ゴシック" w:hAnsi="Calibri"/>
      <w:color w:val="243f60"/>
    </w:rPr>
  </w:style>
  <w:style w:type="paragraph" w:styleId="style6">
    <w:name w:val="heading 6"/>
    <w:basedOn w:val="style0"/>
    <w:next w:val="style0"/>
    <w:link w:val="style4111"/>
    <w:qFormat/>
    <w:uiPriority w:val="9"/>
    <w:pPr>
      <w:keepNext/>
      <w:keepLines/>
      <w:spacing w:before="200" w:after="0"/>
      <w:outlineLvl w:val="5"/>
    </w:pPr>
    <w:rPr>
      <w:rFonts w:ascii="Calibri" w:cs="宋体" w:eastAsia="ＭＳ ゴシック" w:hAnsi="Calibri"/>
      <w:i/>
      <w:iCs/>
      <w:color w:val="243f60"/>
    </w:rPr>
  </w:style>
  <w:style w:type="paragraph" w:styleId="style7">
    <w:name w:val="heading 7"/>
    <w:basedOn w:val="style0"/>
    <w:next w:val="style0"/>
    <w:link w:val="style4112"/>
    <w:qFormat/>
    <w:uiPriority w:val="9"/>
    <w:pPr>
      <w:keepNext/>
      <w:keepLines/>
      <w:spacing w:before="200" w:after="0"/>
      <w:outlineLvl w:val="6"/>
    </w:pPr>
    <w:rPr>
      <w:rFonts w:ascii="Calibri" w:cs="宋体" w:eastAsia="ＭＳ ゴシック" w:hAnsi="Calibri"/>
      <w:i/>
      <w:iCs/>
      <w:color w:val="404040"/>
    </w:rPr>
  </w:style>
  <w:style w:type="paragraph" w:styleId="style8">
    <w:name w:val="heading 8"/>
    <w:basedOn w:val="style0"/>
    <w:next w:val="style0"/>
    <w:link w:val="style4113"/>
    <w:qFormat/>
    <w:uiPriority w:val="9"/>
    <w:pPr>
      <w:keepNext/>
      <w:keepLines/>
      <w:spacing w:before="200" w:after="0"/>
      <w:outlineLvl w:val="7"/>
    </w:pPr>
    <w:rPr>
      <w:rFonts w:ascii="Calibri" w:cs="宋体" w:eastAsia="ＭＳ ゴシック" w:hAnsi="Calibri"/>
      <w:color w:val="4f81bd"/>
      <w:sz w:val="20"/>
      <w:szCs w:val="20"/>
    </w:rPr>
  </w:style>
  <w:style w:type="paragraph" w:styleId="style9">
    <w:name w:val="heading 9"/>
    <w:basedOn w:val="style0"/>
    <w:next w:val="style0"/>
    <w:link w:val="style4114"/>
    <w:qFormat/>
    <w:uiPriority w:val="9"/>
    <w:pPr>
      <w:keepNext/>
      <w:keepLines/>
      <w:spacing w:before="200" w:after="0"/>
      <w:outlineLvl w:val="8"/>
    </w:pPr>
    <w:rPr>
      <w:rFonts w:ascii="Calibri" w:cs="宋体" w:eastAsia="ＭＳ ゴシック" w:hAnsi="Calibri"/>
      <w:i/>
      <w:iCs/>
      <w:color w:val="404040"/>
      <w:sz w:val="20"/>
      <w:szCs w:val="20"/>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57">
    <w:name w:val="No Spacing"/>
    <w:next w:val="style157"/>
    <w:qFormat/>
    <w:uiPriority w:val="1"/>
    <w:pPr>
      <w:spacing w:after="0" w:lineRule="auto" w:line="240"/>
    </w:pPr>
    <w:rPr/>
  </w:style>
  <w:style w:type="character" w:customStyle="1" w:styleId="style4099">
    <w:name w:val="Heading 1 Char_87e7f9bd-359e-4f1a-99d9-3d3c6d2803b2"/>
    <w:basedOn w:val="style65"/>
    <w:next w:val="style4099"/>
    <w:link w:val="style1"/>
    <w:uiPriority w:val="9"/>
    <w:rPr>
      <w:rFonts w:ascii="Calibri" w:cs="宋体" w:eastAsia="ＭＳ ゴシック" w:hAnsi="Calibri"/>
      <w:b/>
      <w:bCs/>
      <w:color w:val="365f91"/>
      <w:sz w:val="28"/>
      <w:szCs w:val="28"/>
    </w:rPr>
  </w:style>
  <w:style w:type="character" w:customStyle="1" w:styleId="style4100">
    <w:name w:val="Heading 2 Char_0cfb0927-0a3b-463d-ab3d-1137d02de8ff"/>
    <w:basedOn w:val="style65"/>
    <w:next w:val="style4100"/>
    <w:link w:val="style2"/>
    <w:uiPriority w:val="9"/>
    <w:rPr>
      <w:rFonts w:ascii="Calibri" w:cs="宋体" w:eastAsia="ＭＳ ゴシック" w:hAnsi="Calibri"/>
      <w:b/>
      <w:bCs/>
      <w:color w:val="4f81bd"/>
      <w:sz w:val="26"/>
      <w:szCs w:val="26"/>
    </w:rPr>
  </w:style>
  <w:style w:type="character" w:customStyle="1" w:styleId="style4101">
    <w:name w:val="Heading 3 Char_2057d8b2-cf74-43f7-b44d-e345ca73c9fc"/>
    <w:basedOn w:val="style65"/>
    <w:next w:val="style4101"/>
    <w:link w:val="style3"/>
    <w:uiPriority w:val="9"/>
    <w:rPr>
      <w:rFonts w:ascii="Calibri" w:cs="宋体" w:eastAsia="ＭＳ ゴシック" w:hAnsi="Calibri"/>
      <w:b/>
      <w:bCs/>
      <w:color w:val="4f81bd"/>
    </w:rPr>
  </w:style>
  <w:style w:type="paragraph" w:styleId="style62">
    <w:name w:val="Title"/>
    <w:basedOn w:val="style0"/>
    <w:next w:val="style0"/>
    <w:link w:val="style4102"/>
    <w:qFormat/>
    <w:uiPriority w:val="10"/>
    <w:pPr>
      <w:pBdr>
        <w:bottom w:val="single" w:sz="8" w:space="4" w:color="4f81bd"/>
      </w:pBdr>
      <w:spacing w:after="300" w:lineRule="auto" w:line="240"/>
      <w:contextualSpacing/>
    </w:pPr>
    <w:rPr>
      <w:rFonts w:ascii="Calibri" w:cs="宋体" w:eastAsia="ＭＳ ゴシック" w:hAnsi="Calibri"/>
      <w:b/>
      <w:color w:val="17365d"/>
      <w:spacing w:val="5"/>
      <w:kern w:val="28"/>
      <w:sz w:val="32"/>
      <w:szCs w:val="52"/>
    </w:rPr>
  </w:style>
  <w:style w:type="character" w:customStyle="1" w:styleId="style4102">
    <w:name w:val="Title Char_f39cce6d-353a-45af-95d1-c1e46b3e6bc3"/>
    <w:basedOn w:val="style65"/>
    <w:next w:val="style4102"/>
    <w:link w:val="style62"/>
    <w:uiPriority w:val="10"/>
    <w:rPr>
      <w:rFonts w:ascii="Calibri" w:cs="宋体" w:eastAsia="ＭＳ ゴシック" w:hAnsi="Calibri"/>
      <w:color w:val="17365d"/>
      <w:spacing w:val="5"/>
      <w:kern w:val="28"/>
      <w:sz w:val="52"/>
      <w:szCs w:val="52"/>
    </w:rPr>
  </w:style>
  <w:style w:type="paragraph" w:styleId="style74">
    <w:name w:val="Subtitle"/>
    <w:basedOn w:val="style0"/>
    <w:next w:val="style0"/>
    <w:link w:val="style4103"/>
    <w:qFormat/>
    <w:uiPriority w:val="11"/>
    <w:pPr>
      <w:numPr>
        <w:ilvl w:val="1"/>
        <w:numId w:val="0"/>
      </w:numPr>
    </w:pPr>
    <w:rPr>
      <w:rFonts w:ascii="Calibri" w:cs="宋体" w:eastAsia="ＭＳ ゴシック" w:hAnsi="Calibri"/>
      <w:i/>
      <w:iCs/>
      <w:color w:val="4f81bd"/>
      <w:spacing w:val="15"/>
      <w:sz w:val="24"/>
      <w:szCs w:val="24"/>
    </w:rPr>
  </w:style>
  <w:style w:type="character" w:customStyle="1" w:styleId="style4103">
    <w:name w:val="Subtitle Char"/>
    <w:basedOn w:val="style65"/>
    <w:next w:val="style4103"/>
    <w:link w:val="style74"/>
    <w:uiPriority w:val="11"/>
    <w:rPr>
      <w:rFonts w:ascii="Calibri" w:cs="宋体" w:eastAsia="ＭＳ ゴシック" w:hAnsi="Calibri"/>
      <w:i/>
      <w:iCs/>
      <w:color w:val="4f81bd"/>
      <w:spacing w:val="15"/>
      <w:sz w:val="24"/>
      <w:szCs w:val="24"/>
    </w:rPr>
  </w:style>
  <w:style w:type="paragraph" w:styleId="style179">
    <w:name w:val="List Paragraph"/>
    <w:basedOn w:val="style0"/>
    <w:next w:val="style179"/>
    <w:qFormat/>
    <w:uiPriority w:val="34"/>
    <w:pPr>
      <w:ind w:left="720"/>
      <w:contextualSpacing/>
    </w:pPr>
    <w:rPr/>
  </w:style>
  <w:style w:type="paragraph" w:styleId="style66">
    <w:name w:val="Body Text"/>
    <w:basedOn w:val="style0"/>
    <w:next w:val="style66"/>
    <w:link w:val="style4104"/>
    <w:uiPriority w:val="99"/>
    <w:pPr>
      <w:spacing w:after="120"/>
    </w:pPr>
    <w:rPr/>
  </w:style>
  <w:style w:type="character" w:customStyle="1" w:styleId="style4104">
    <w:name w:val="Body Text Char"/>
    <w:basedOn w:val="style65"/>
    <w:next w:val="style4104"/>
    <w:link w:val="style66"/>
    <w:uiPriority w:val="99"/>
  </w:style>
  <w:style w:type="paragraph" w:styleId="style80">
    <w:name w:val="Body Text 2"/>
    <w:basedOn w:val="style0"/>
    <w:next w:val="style80"/>
    <w:link w:val="style4105"/>
    <w:uiPriority w:val="99"/>
    <w:pPr>
      <w:spacing w:after="120" w:lineRule="auto" w:line="480"/>
    </w:pPr>
    <w:rPr/>
  </w:style>
  <w:style w:type="character" w:customStyle="1" w:styleId="style4105">
    <w:name w:val="Body Text 2 Char"/>
    <w:basedOn w:val="style65"/>
    <w:next w:val="style4105"/>
    <w:link w:val="style80"/>
    <w:uiPriority w:val="99"/>
  </w:style>
  <w:style w:type="paragraph" w:styleId="style81">
    <w:name w:val="Body Text 3"/>
    <w:basedOn w:val="style0"/>
    <w:next w:val="style81"/>
    <w:link w:val="style4106"/>
    <w:uiPriority w:val="99"/>
    <w:pPr>
      <w:spacing w:after="120"/>
    </w:pPr>
    <w:rPr>
      <w:sz w:val="16"/>
      <w:szCs w:val="16"/>
    </w:rPr>
  </w:style>
  <w:style w:type="character" w:customStyle="1" w:styleId="style4106">
    <w:name w:val="Body Text 3 Char"/>
    <w:basedOn w:val="style65"/>
    <w:next w:val="style4106"/>
    <w:link w:val="style81"/>
    <w:uiPriority w:val="99"/>
    <w:rPr>
      <w:sz w:val="16"/>
      <w:szCs w:val="16"/>
    </w:rPr>
  </w:style>
  <w:style w:type="paragraph" w:styleId="style47">
    <w:name w:val="List"/>
    <w:basedOn w:val="style0"/>
    <w:next w:val="style47"/>
    <w:uiPriority w:val="99"/>
    <w:pPr>
      <w:ind w:left="360" w:hanging="360"/>
      <w:contextualSpacing/>
    </w:pPr>
    <w:rPr/>
  </w:style>
  <w:style w:type="paragraph" w:styleId="style50">
    <w:name w:val="List 2"/>
    <w:basedOn w:val="style0"/>
    <w:next w:val="style50"/>
    <w:uiPriority w:val="99"/>
    <w:pPr>
      <w:ind w:left="720" w:hanging="360"/>
      <w:contextualSpacing/>
    </w:pPr>
    <w:rPr/>
  </w:style>
  <w:style w:type="paragraph" w:styleId="style51">
    <w:name w:val="List 3"/>
    <w:basedOn w:val="style0"/>
    <w:next w:val="style51"/>
    <w:uiPriority w:val="99"/>
    <w:pPr>
      <w:ind w:left="1080" w:hanging="360"/>
      <w:contextualSpacing/>
    </w:pPr>
    <w:rPr/>
  </w:style>
  <w:style w:type="paragraph" w:styleId="style48">
    <w:name w:val="List Bullet"/>
    <w:basedOn w:val="style0"/>
    <w:next w:val="style48"/>
    <w:uiPriority w:val="99"/>
    <w:pPr>
      <w:numPr>
        <w:ilvl w:val="0"/>
        <w:numId w:val="1"/>
      </w:numPr>
      <w:contextualSpacing/>
    </w:pPr>
    <w:rPr/>
  </w:style>
  <w:style w:type="paragraph" w:styleId="style54">
    <w:name w:val="List Bullet 2"/>
    <w:basedOn w:val="style0"/>
    <w:next w:val="style54"/>
    <w:uiPriority w:val="99"/>
    <w:pPr>
      <w:numPr>
        <w:ilvl w:val="0"/>
        <w:numId w:val="2"/>
      </w:numPr>
      <w:contextualSpacing/>
    </w:pPr>
    <w:rPr/>
  </w:style>
  <w:style w:type="paragraph" w:styleId="style55">
    <w:name w:val="List Bullet 3"/>
    <w:basedOn w:val="style0"/>
    <w:next w:val="style55"/>
    <w:uiPriority w:val="99"/>
    <w:pPr>
      <w:numPr>
        <w:ilvl w:val="0"/>
        <w:numId w:val="3"/>
      </w:numPr>
      <w:contextualSpacing/>
    </w:pPr>
    <w:rPr/>
  </w:style>
  <w:style w:type="paragraph" w:styleId="style49">
    <w:name w:val="List Number"/>
    <w:basedOn w:val="style0"/>
    <w:next w:val="style49"/>
    <w:uiPriority w:val="99"/>
    <w:pPr>
      <w:numPr>
        <w:ilvl w:val="0"/>
        <w:numId w:val="4"/>
      </w:numPr>
      <w:contextualSpacing/>
    </w:pPr>
    <w:rPr/>
  </w:style>
  <w:style w:type="paragraph" w:styleId="style58">
    <w:name w:val="List Number 2"/>
    <w:basedOn w:val="style0"/>
    <w:next w:val="style58"/>
    <w:uiPriority w:val="99"/>
    <w:pPr>
      <w:numPr>
        <w:ilvl w:val="0"/>
        <w:numId w:val="5"/>
      </w:numPr>
      <w:contextualSpacing/>
    </w:pPr>
    <w:rPr/>
  </w:style>
  <w:style w:type="paragraph" w:styleId="style59">
    <w:name w:val="List Number 3"/>
    <w:basedOn w:val="style0"/>
    <w:next w:val="style59"/>
    <w:uiPriority w:val="99"/>
    <w:pPr>
      <w:numPr>
        <w:ilvl w:val="0"/>
        <w:numId w:val="6"/>
      </w:numPr>
      <w:contextualSpacing/>
    </w:pPr>
    <w:rPr/>
  </w:style>
  <w:style w:type="paragraph" w:styleId="style68">
    <w:name w:val="List Continue"/>
    <w:basedOn w:val="style0"/>
    <w:next w:val="style68"/>
    <w:uiPriority w:val="99"/>
    <w:pPr>
      <w:spacing w:after="120"/>
      <w:ind w:left="360"/>
      <w:contextualSpacing/>
    </w:pPr>
    <w:rPr/>
  </w:style>
  <w:style w:type="paragraph" w:styleId="style69">
    <w:name w:val="List Continue 2"/>
    <w:basedOn w:val="style0"/>
    <w:next w:val="style69"/>
    <w:uiPriority w:val="99"/>
    <w:pPr>
      <w:spacing w:after="120"/>
      <w:ind w:left="720"/>
      <w:contextualSpacing/>
    </w:pPr>
    <w:rPr/>
  </w:style>
  <w:style w:type="paragraph" w:styleId="style70">
    <w:name w:val="List Continue 3"/>
    <w:basedOn w:val="style0"/>
    <w:next w:val="style70"/>
    <w:uiPriority w:val="99"/>
    <w:pPr>
      <w:spacing w:after="120"/>
      <w:ind w:left="1080"/>
      <w:contextualSpacing/>
    </w:pPr>
    <w:rPr/>
  </w:style>
  <w:style w:type="paragraph" w:styleId="style45">
    <w:name w:val="macro"/>
    <w:next w:val="style45"/>
    <w:link w:val="style4107"/>
    <w:uiPriority w:val="99"/>
    <w:pPr>
      <w:tabs>
        <w:tab w:val="left" w:leader="none" w:pos="576"/>
        <w:tab w:val="left" w:leader="none" w:pos="1152"/>
        <w:tab w:val="left" w:leader="none" w:pos="1728"/>
        <w:tab w:val="left" w:leader="none" w:pos="2304"/>
        <w:tab w:val="left" w:leader="none" w:pos="2880"/>
        <w:tab w:val="left" w:leader="none" w:pos="3456"/>
        <w:tab w:val="left" w:leader="none" w:pos="4032"/>
      </w:tabs>
    </w:pPr>
    <w:rPr>
      <w:rFonts w:ascii="Courier" w:hAnsi="Courier"/>
      <w:sz w:val="20"/>
      <w:szCs w:val="20"/>
    </w:rPr>
  </w:style>
  <w:style w:type="character" w:customStyle="1" w:styleId="style4107">
    <w:name w:val="Macro Text Char"/>
    <w:basedOn w:val="style65"/>
    <w:next w:val="style4107"/>
    <w:link w:val="style45"/>
    <w:uiPriority w:val="99"/>
    <w:rPr>
      <w:rFonts w:ascii="Courier" w:hAnsi="Courier"/>
      <w:sz w:val="20"/>
      <w:szCs w:val="20"/>
    </w:rPr>
  </w:style>
  <w:style w:type="paragraph" w:styleId="style180">
    <w:name w:val="Quote"/>
    <w:basedOn w:val="style0"/>
    <w:next w:val="style0"/>
    <w:link w:val="style4108"/>
    <w:qFormat/>
    <w:uiPriority w:val="29"/>
    <w:pPr/>
    <w:rPr>
      <w:i/>
      <w:iCs/>
      <w:color w:val="000000"/>
    </w:rPr>
  </w:style>
  <w:style w:type="character" w:customStyle="1" w:styleId="style4108">
    <w:name w:val="Quote Char_811d1e51-0859-4c23-9f88-7533719445d9"/>
    <w:basedOn w:val="style65"/>
    <w:next w:val="style4108"/>
    <w:link w:val="style180"/>
    <w:uiPriority w:val="29"/>
    <w:rPr>
      <w:i/>
      <w:iCs/>
      <w:color w:val="000000"/>
    </w:rPr>
  </w:style>
  <w:style w:type="character" w:customStyle="1" w:styleId="style4109">
    <w:name w:val="Heading 4 Char_4b808f63-e06e-41cb-a011-3e2ccb577aae"/>
    <w:basedOn w:val="style65"/>
    <w:next w:val="style4109"/>
    <w:link w:val="style4"/>
    <w:uiPriority w:val="9"/>
    <w:rPr>
      <w:rFonts w:ascii="Calibri" w:cs="宋体" w:eastAsia="ＭＳ ゴシック" w:hAnsi="Calibri"/>
      <w:b/>
      <w:bCs/>
      <w:i/>
      <w:iCs/>
      <w:color w:val="4f81bd"/>
    </w:rPr>
  </w:style>
  <w:style w:type="character" w:customStyle="1" w:styleId="style4110">
    <w:name w:val="Heading 5 Char_662e8c72-045a-46d4-9807-42ee2ae61445"/>
    <w:basedOn w:val="style65"/>
    <w:next w:val="style4110"/>
    <w:link w:val="style5"/>
    <w:uiPriority w:val="9"/>
    <w:rPr>
      <w:rFonts w:ascii="Calibri" w:cs="宋体" w:eastAsia="ＭＳ ゴシック" w:hAnsi="Calibri"/>
      <w:color w:val="243f60"/>
    </w:rPr>
  </w:style>
  <w:style w:type="character" w:customStyle="1" w:styleId="style4111">
    <w:name w:val="Heading 6 Char_74464075-6551-47fe-b86a-f699c32ee679"/>
    <w:basedOn w:val="style65"/>
    <w:next w:val="style4111"/>
    <w:link w:val="style6"/>
    <w:uiPriority w:val="9"/>
    <w:rPr>
      <w:rFonts w:ascii="Calibri" w:cs="宋体" w:eastAsia="ＭＳ ゴシック" w:hAnsi="Calibri"/>
      <w:i/>
      <w:iCs/>
      <w:color w:val="243f60"/>
    </w:rPr>
  </w:style>
  <w:style w:type="character" w:customStyle="1" w:styleId="style4112">
    <w:name w:val="Heading 7 Char_c4838eb6-9a3a-4f9c-afc9-97007ebe7636"/>
    <w:basedOn w:val="style65"/>
    <w:next w:val="style4112"/>
    <w:link w:val="style7"/>
    <w:uiPriority w:val="9"/>
    <w:rPr>
      <w:rFonts w:ascii="Calibri" w:cs="宋体" w:eastAsia="ＭＳ ゴシック" w:hAnsi="Calibri"/>
      <w:i/>
      <w:iCs/>
      <w:color w:val="404040"/>
    </w:rPr>
  </w:style>
  <w:style w:type="character" w:customStyle="1" w:styleId="style4113">
    <w:name w:val="Heading 8 Char_ec8ca7fa-eeaf-4181-b865-bc66f61660f8"/>
    <w:basedOn w:val="style65"/>
    <w:next w:val="style4113"/>
    <w:link w:val="style8"/>
    <w:uiPriority w:val="9"/>
    <w:rPr>
      <w:rFonts w:ascii="Calibri" w:cs="宋体" w:eastAsia="ＭＳ ゴシック" w:hAnsi="Calibri"/>
      <w:color w:val="4f81bd"/>
      <w:sz w:val="20"/>
      <w:szCs w:val="20"/>
    </w:rPr>
  </w:style>
  <w:style w:type="character" w:customStyle="1" w:styleId="style4114">
    <w:name w:val="Heading 9 Char_1af3e0b0-0068-47ec-b38e-a7ebba9c561a"/>
    <w:basedOn w:val="style65"/>
    <w:next w:val="style4114"/>
    <w:link w:val="style9"/>
    <w:uiPriority w:val="9"/>
    <w:rPr>
      <w:rFonts w:ascii="Calibri" w:cs="宋体" w:eastAsia="ＭＳ ゴシック" w:hAnsi="Calibri"/>
      <w:i/>
      <w:iCs/>
      <w:color w:val="404040"/>
      <w:sz w:val="20"/>
      <w:szCs w:val="20"/>
    </w:rPr>
  </w:style>
  <w:style w:type="paragraph" w:styleId="style34">
    <w:name w:val="caption"/>
    <w:basedOn w:val="style0"/>
    <w:next w:val="style0"/>
    <w:qFormat/>
    <w:uiPriority w:val="35"/>
    <w:pPr>
      <w:spacing w:lineRule="auto" w:line="240"/>
    </w:pPr>
    <w:rPr>
      <w:b/>
      <w:bCs/>
      <w:color w:val="4f81bd"/>
      <w:sz w:val="18"/>
      <w:szCs w:val="18"/>
    </w:rPr>
  </w:style>
  <w:style w:type="character" w:styleId="style87">
    <w:name w:val="Strong"/>
    <w:basedOn w:val="style65"/>
    <w:next w:val="style87"/>
    <w:qFormat/>
    <w:uiPriority w:val="22"/>
    <w:rPr>
      <w:b/>
      <w:bCs/>
    </w:rPr>
  </w:style>
  <w:style w:type="character" w:styleId="style88">
    <w:name w:val="Emphasis"/>
    <w:basedOn w:val="style65"/>
    <w:next w:val="style88"/>
    <w:qFormat/>
    <w:uiPriority w:val="20"/>
    <w:rPr>
      <w:i/>
      <w:iCs/>
    </w:rPr>
  </w:style>
  <w:style w:type="paragraph" w:styleId="style181">
    <w:name w:val="Intense Quote"/>
    <w:basedOn w:val="style0"/>
    <w:next w:val="style0"/>
    <w:link w:val="style4115"/>
    <w:qFormat/>
    <w:uiPriority w:val="30"/>
    <w:pPr>
      <w:pBdr>
        <w:bottom w:val="single" w:sz="4" w:space="4" w:color="4f81bd"/>
      </w:pBdr>
      <w:spacing w:before="200" w:after="280"/>
      <w:ind w:left="936" w:right="936"/>
    </w:pPr>
    <w:rPr>
      <w:b/>
      <w:bCs/>
      <w:i/>
      <w:iCs/>
      <w:color w:val="4f81bd"/>
    </w:rPr>
  </w:style>
  <w:style w:type="character" w:customStyle="1" w:styleId="style4115">
    <w:name w:val="Intense Quote Char_fcc6a14c-f601-4957-bc44-37a79261f3fe"/>
    <w:basedOn w:val="style65"/>
    <w:next w:val="style4115"/>
    <w:link w:val="style181"/>
    <w:uiPriority w:val="30"/>
    <w:rPr>
      <w:b/>
      <w:bCs/>
      <w:i/>
      <w:iCs/>
      <w:color w:val="4f81bd"/>
    </w:rPr>
  </w:style>
  <w:style w:type="character" w:styleId="style260">
    <w:name w:val="Subtle Emphasis"/>
    <w:basedOn w:val="style65"/>
    <w:next w:val="style260"/>
    <w:qFormat/>
    <w:uiPriority w:val="19"/>
    <w:rPr>
      <w:i/>
      <w:iCs/>
      <w:color w:val="808080"/>
    </w:rPr>
  </w:style>
  <w:style w:type="character" w:styleId="style261">
    <w:name w:val="Intense Emphasis"/>
    <w:basedOn w:val="style65"/>
    <w:next w:val="style261"/>
    <w:qFormat/>
    <w:uiPriority w:val="21"/>
    <w:rPr>
      <w:b/>
      <w:bCs/>
      <w:i/>
      <w:iCs/>
      <w:color w:val="4f81bd"/>
    </w:rPr>
  </w:style>
  <w:style w:type="character" w:styleId="style262">
    <w:name w:val="Subtle Reference"/>
    <w:basedOn w:val="style65"/>
    <w:next w:val="style262"/>
    <w:qFormat/>
    <w:uiPriority w:val="31"/>
    <w:rPr>
      <w:smallCaps/>
      <w:color w:val="c0504d"/>
      <w:u w:val="single"/>
    </w:rPr>
  </w:style>
  <w:style w:type="character" w:styleId="style263">
    <w:name w:val="Intense Reference"/>
    <w:basedOn w:val="style65"/>
    <w:next w:val="style263"/>
    <w:qFormat/>
    <w:uiPriority w:val="32"/>
    <w:rPr>
      <w:b/>
      <w:bCs/>
      <w:smallCaps/>
      <w:color w:val="c0504d"/>
      <w:spacing w:val="5"/>
      <w:u w:val="single"/>
    </w:rPr>
  </w:style>
  <w:style w:type="character" w:styleId="style264">
    <w:name w:val="Book Title"/>
    <w:basedOn w:val="style65"/>
    <w:next w:val="style264"/>
    <w:qFormat/>
    <w:uiPriority w:val="33"/>
    <w:rPr>
      <w:b/>
      <w:bCs/>
      <w:smallCaps/>
      <w:spacing w:val="5"/>
    </w:rPr>
  </w:style>
  <w:style w:type="paragraph" w:styleId="style266">
    <w:name w:val="TOC Heading"/>
    <w:basedOn w:val="style1"/>
    <w:next w:val="style0"/>
    <w:qFormat/>
    <w:uiPriority w:val="39"/>
    <w:pPr>
      <w:outlineLvl w:val="9"/>
    </w:pPr>
    <w:rPr/>
  </w:style>
  <w:style w:type="table" w:styleId="style154">
    <w:name w:val="Table Grid"/>
    <w:basedOn w:val="style105"/>
    <w:next w:val="style154"/>
    <w:uiPriority w:val="59"/>
    <w:pPr>
      <w:spacing w:after="0" w:lineRule="auto" w:line="240"/>
    </w:pP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 w:type="table" w:styleId="style158">
    <w:name w:val="Light Shading"/>
    <w:basedOn w:val="style105"/>
    <w:next w:val="style158"/>
    <w:uiPriority w:val="60"/>
    <w:pPr>
      <w:spacing w:after="0" w:lineRule="auto" w:line="240"/>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Rule="auto" w:line="240"/>
      </w:pPr>
      <w:rPr>
        <w:b/>
        <w:bCs/>
      </w:rPr>
      <w:tblPr/>
      <w:tcPr>
        <w:tcBorders>
          <w:top w:val="single" w:sz="8" w:space="0" w:color="000000"/>
          <w:left w:val="nil"/>
          <w:bottom w:val="single" w:sz="8" w:space="0" w:color="000000"/>
          <w:right w:val="nil"/>
          <w:insideH w:val="nil"/>
          <w:insideV w:val="nil"/>
        </w:tcBorders>
      </w:tcPr>
    </w:tblStylePr>
    <w:tblStylePr w:type="band1Horz">
      <w:pPr/>
      <w:tblPr/>
      <w:tcPr>
        <w:tcBorders>
          <w:left w:val="nil"/>
          <w:right w:val="nil"/>
          <w:insideH w:val="nil"/>
          <w:insideV w:val="nil"/>
        </w:tcBorders>
        <w:shd w:val="clear" w:color="auto" w:fill="c0c0c0"/>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c0c0c0"/>
      </w:tcPr>
    </w:tblStylePr>
    <w:tcPr>
      <w:tcBorders/>
    </w:tcPr>
  </w:style>
  <w:style w:type="table" w:styleId="style172">
    <w:name w:val="Light Shading Accent 1"/>
    <w:basedOn w:val="style105"/>
    <w:next w:val="style172"/>
    <w:uiPriority w:val="60"/>
    <w:pPr>
      <w:spacing w:after="0" w:lineRule="auto" w:line="240"/>
    </w:pPr>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Rule="auto" w:line="240"/>
      </w:pPr>
      <w:rPr>
        <w:b/>
        <w:bCs/>
      </w:rPr>
      <w:tblPr/>
      <w:tcPr>
        <w:tcBorders>
          <w:top w:val="single" w:sz="8" w:space="0" w:color="4f81bd"/>
          <w:left w:val="nil"/>
          <w:bottom w:val="single" w:sz="8" w:space="0" w:color="4f81bd"/>
          <w:right w:val="nil"/>
          <w:insideH w:val="nil"/>
          <w:insideV w:val="nil"/>
        </w:tcBorders>
      </w:tcPr>
    </w:tblStylePr>
    <w:tblStylePr w:type="band1Horz">
      <w:pPr/>
      <w:tblPr/>
      <w:tcPr>
        <w:tcBorders>
          <w:left w:val="nil"/>
          <w:right w:val="nil"/>
          <w:insideH w:val="nil"/>
          <w:insideV w:val="nil"/>
        </w:tcBorders>
        <w:shd w:val="clear" w:color="auto" w:fill="d3dfee"/>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d3dfee"/>
      </w:tcPr>
    </w:tblStylePr>
    <w:tcPr>
      <w:tcBorders/>
    </w:tcPr>
  </w:style>
  <w:style w:type="table" w:styleId="style190">
    <w:name w:val="Light Shading Accent 2"/>
    <w:basedOn w:val="style105"/>
    <w:next w:val="style190"/>
    <w:uiPriority w:val="60"/>
    <w:pPr>
      <w:spacing w:after="0" w:lineRule="auto" w:line="240"/>
    </w:pPr>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Rule="auto" w:line="240"/>
      </w:pPr>
      <w:rPr>
        <w:b/>
        <w:bCs/>
      </w:rPr>
      <w:tblPr/>
      <w:tcPr>
        <w:tcBorders>
          <w:top w:val="single" w:sz="8" w:space="0" w:color="c0504d"/>
          <w:left w:val="nil"/>
          <w:bottom w:val="single" w:sz="8" w:space="0" w:color="c0504d"/>
          <w:right w:val="nil"/>
          <w:insideH w:val="nil"/>
          <w:insideV w:val="nil"/>
        </w:tcBorders>
      </w:tcPr>
    </w:tblStylePr>
    <w:tblStylePr w:type="band1Horz">
      <w:pPr/>
      <w:tblPr/>
      <w:tcPr>
        <w:tcBorders>
          <w:left w:val="nil"/>
          <w:right w:val="nil"/>
          <w:insideH w:val="nil"/>
          <w:insideV w:val="nil"/>
        </w:tcBorders>
        <w:shd w:val="clear" w:color="auto" w:fill="efd3d2"/>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efd3d2"/>
      </w:tcPr>
    </w:tblStylePr>
    <w:tcPr>
      <w:tcBorders/>
    </w:tcPr>
  </w:style>
  <w:style w:type="table" w:styleId="style204">
    <w:name w:val="Light Shading Accent 3"/>
    <w:basedOn w:val="style105"/>
    <w:next w:val="style204"/>
    <w:uiPriority w:val="60"/>
    <w:pPr>
      <w:spacing w:after="0" w:lineRule="auto" w:line="240"/>
    </w:pPr>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Rule="auto" w:line="240"/>
      </w:pPr>
      <w:rPr>
        <w:b/>
        <w:bCs/>
      </w:rPr>
      <w:tblPr/>
      <w:tcPr>
        <w:tcBorders>
          <w:top w:val="single" w:sz="8" w:space="0" w:color="9bbb59"/>
          <w:left w:val="nil"/>
          <w:bottom w:val="single" w:sz="8" w:space="0" w:color="9bbb59"/>
          <w:right w:val="nil"/>
          <w:insideH w:val="nil"/>
          <w:insideV w:val="nil"/>
        </w:tcBorders>
      </w:tcPr>
    </w:tblStylePr>
    <w:tblStylePr w:type="band1Horz">
      <w:pPr/>
      <w:tblPr/>
      <w:tcPr>
        <w:tcBorders>
          <w:left w:val="nil"/>
          <w:right w:val="nil"/>
          <w:insideH w:val="nil"/>
          <w:insideV w:val="nil"/>
        </w:tcBorders>
        <w:shd w:val="clear" w:color="auto" w:fill="e6eed5"/>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e6eed5"/>
      </w:tcPr>
    </w:tblStylePr>
    <w:tcPr>
      <w:tcBorders/>
    </w:tcPr>
  </w:style>
  <w:style w:type="table" w:styleId="style218">
    <w:name w:val="Light Shading Accent 4"/>
    <w:basedOn w:val="style105"/>
    <w:next w:val="style218"/>
    <w:uiPriority w:val="60"/>
    <w:pPr>
      <w:spacing w:after="0" w:lineRule="auto" w:line="240"/>
    </w:pPr>
    <w:rPr>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Rule="auto" w:line="240"/>
      </w:pPr>
      <w:rPr>
        <w:b/>
        <w:bCs/>
      </w:rPr>
      <w:tblPr/>
      <w:tcPr>
        <w:tcBorders>
          <w:top w:val="single" w:sz="8" w:space="0" w:color="8064a2"/>
          <w:left w:val="nil"/>
          <w:bottom w:val="single" w:sz="8" w:space="0" w:color="8064a2"/>
          <w:right w:val="nil"/>
          <w:insideH w:val="nil"/>
          <w:insideV w:val="nil"/>
        </w:tcBorders>
      </w:tcPr>
    </w:tblStylePr>
    <w:tblStylePr w:type="band1Horz">
      <w:pPr/>
      <w:tblPr/>
      <w:tcPr>
        <w:tcBorders>
          <w:left w:val="nil"/>
          <w:right w:val="nil"/>
          <w:insideH w:val="nil"/>
          <w:insideV w:val="nil"/>
        </w:tcBorders>
        <w:shd w:val="clear" w:color="auto" w:fill="dfd8e8"/>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dfd8e8"/>
      </w:tcPr>
    </w:tblStylePr>
    <w:tcPr>
      <w:tcBorders/>
    </w:tcPr>
  </w:style>
  <w:style w:type="table" w:styleId="style232">
    <w:name w:val="Light Shading Accent 5"/>
    <w:basedOn w:val="style105"/>
    <w:next w:val="style232"/>
    <w:uiPriority w:val="60"/>
    <w:pPr>
      <w:spacing w:after="0" w:lineRule="auto" w:line="240"/>
    </w:pPr>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Rule="auto" w:line="240"/>
      </w:pPr>
      <w:rPr>
        <w:b/>
        <w:bCs/>
      </w:rPr>
      <w:tblPr/>
      <w:tcPr>
        <w:tcBorders>
          <w:top w:val="single" w:sz="8" w:space="0" w:color="4bacc6"/>
          <w:left w:val="nil"/>
          <w:bottom w:val="single" w:sz="8" w:space="0" w:color="4bacc6"/>
          <w:right w:val="nil"/>
          <w:insideH w:val="nil"/>
          <w:insideV w:val="nil"/>
        </w:tcBorders>
      </w:tcPr>
    </w:tblStylePr>
    <w:tblStylePr w:type="band1Horz">
      <w:pPr/>
      <w:tblPr/>
      <w:tcPr>
        <w:tcBorders>
          <w:left w:val="nil"/>
          <w:right w:val="nil"/>
          <w:insideH w:val="nil"/>
          <w:insideV w:val="nil"/>
        </w:tcBorders>
        <w:shd w:val="clear" w:color="auto" w:fill="d2eaf1"/>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d2eaf1"/>
      </w:tcPr>
    </w:tblStylePr>
    <w:tcPr>
      <w:tcBorders/>
    </w:tcPr>
  </w:style>
  <w:style w:type="table" w:styleId="style246">
    <w:name w:val="Light Shading Accent 6"/>
    <w:basedOn w:val="style105"/>
    <w:next w:val="style246"/>
    <w:uiPriority w:val="60"/>
    <w:pPr>
      <w:spacing w:after="0" w:lineRule="auto" w:line="240"/>
    </w:pPr>
    <w:rPr>
      <w:color w:val="e36c0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Rule="auto" w:line="240"/>
      </w:pPr>
      <w:rPr>
        <w:b/>
        <w:bCs/>
      </w:rPr>
      <w:tblPr/>
      <w:tcPr>
        <w:tcBorders>
          <w:top w:val="single" w:sz="8" w:space="0" w:color="f79646"/>
          <w:left w:val="nil"/>
          <w:bottom w:val="single" w:sz="8" w:space="0" w:color="f79646"/>
          <w:right w:val="nil"/>
          <w:insideH w:val="nil"/>
          <w:insideV w:val="nil"/>
        </w:tcBorders>
      </w:tcPr>
    </w:tblStylePr>
    <w:tblStylePr w:type="band1Horz">
      <w:pPr/>
      <w:tblPr/>
      <w:tcPr>
        <w:tcBorders>
          <w:left w:val="nil"/>
          <w:right w:val="nil"/>
          <w:insideH w:val="nil"/>
          <w:insideV w:val="nil"/>
        </w:tcBorders>
        <w:shd w:val="clear" w:color="auto" w:fill="fde4d0"/>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fde4d0"/>
      </w:tcPr>
    </w:tblStylePr>
    <w:tcPr>
      <w:tcBorders/>
    </w:tcPr>
  </w:style>
  <w:style w:type="table" w:styleId="style159">
    <w:name w:val="Light List"/>
    <w:basedOn w:val="style105"/>
    <w:next w:val="style159"/>
    <w:uiPriority w:val="61"/>
    <w:pPr>
      <w:spacing w:after="0" w:lineRule="auto" w:line="240"/>
    </w:pP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000000"/>
      </w:tcPr>
    </w:tblStylePr>
    <w:tblStylePr w:type="lastRow">
      <w:pPr>
        <w:spacing w:before="0" w:after="0" w:lineRule="auto" w:line="240"/>
      </w:pPr>
      <w:rPr>
        <w:b/>
        <w:bCs/>
      </w:rPr>
      <w:tblPr/>
      <w:tcPr>
        <w:tcBorders>
          <w:top w:val="double" w:sz="6" w:space="0" w:color="000000"/>
          <w:left w:val="single" w:sz="8" w:space="0" w:color="000000"/>
          <w:bottom w:val="single" w:sz="8" w:space="0" w:color="000000"/>
          <w:right w:val="single" w:sz="8" w:space="0" w:color="000000"/>
        </w:tcBorders>
      </w:tcPr>
    </w:tblStylePr>
    <w:tblStylePr w:type="band1Horz">
      <w:pPr/>
      <w:tblPr/>
      <w:tcPr>
        <w:tcBorders>
          <w:top w:val="single" w:sz="8" w:space="0" w:color="000000"/>
          <w:left w:val="single" w:sz="8" w:space="0" w:color="000000"/>
          <w:bottom w:val="single" w:sz="8" w:space="0" w:color="000000"/>
          <w:right w:val="single" w:sz="8" w:space="0" w:color="000000"/>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000000"/>
          <w:left w:val="single" w:sz="8" w:space="0" w:color="000000"/>
          <w:bottom w:val="single" w:sz="8" w:space="0" w:color="000000"/>
          <w:right w:val="single" w:sz="8" w:space="0" w:color="000000"/>
        </w:tcBorders>
      </w:tcPr>
    </w:tblStylePr>
    <w:tcPr>
      <w:tcBorders/>
    </w:tcPr>
  </w:style>
  <w:style w:type="table" w:styleId="style173">
    <w:name w:val="Light List Accent 1"/>
    <w:basedOn w:val="style105"/>
    <w:next w:val="style173"/>
    <w:uiPriority w:val="61"/>
    <w:pPr>
      <w:spacing w:after="0" w:lineRule="auto" w:line="240"/>
    </w:pP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4f81bd"/>
      </w:tcPr>
    </w:tblStylePr>
    <w:tblStylePr w:type="lastRow">
      <w:pPr>
        <w:spacing w:before="0" w:after="0" w:lineRule="auto" w:line="240"/>
      </w:pPr>
      <w:rPr>
        <w:b/>
        <w:bCs/>
      </w:rPr>
      <w:tblPr/>
      <w:tcPr>
        <w:tcBorders>
          <w:top w:val="double" w:sz="6" w:space="0" w:color="4f81bd"/>
          <w:left w:val="single" w:sz="8" w:space="0" w:color="4f81bd"/>
          <w:bottom w:val="single" w:sz="8" w:space="0" w:color="4f81bd"/>
          <w:right w:val="single" w:sz="8" w:space="0" w:color="4f81bd"/>
        </w:tcBorders>
      </w:tcPr>
    </w:tblStylePr>
    <w:tblStylePr w:type="band1Horz">
      <w:pPr/>
      <w:tblPr/>
      <w:tcPr>
        <w:tcBorders>
          <w:top w:val="single" w:sz="8" w:space="0" w:color="4f81bd"/>
          <w:left w:val="single" w:sz="8" w:space="0" w:color="4f81bd"/>
          <w:bottom w:val="single" w:sz="8" w:space="0" w:color="4f81bd"/>
          <w:right w:val="single" w:sz="8" w:space="0" w:color="4f81bd"/>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4f81bd"/>
          <w:left w:val="single" w:sz="8" w:space="0" w:color="4f81bd"/>
          <w:bottom w:val="single" w:sz="8" w:space="0" w:color="4f81bd"/>
          <w:right w:val="single" w:sz="8" w:space="0" w:color="4f81bd"/>
        </w:tcBorders>
      </w:tcPr>
    </w:tblStylePr>
    <w:tcPr>
      <w:tcBorders/>
    </w:tcPr>
  </w:style>
  <w:style w:type="table" w:styleId="style191">
    <w:name w:val="Light List Accent 2"/>
    <w:basedOn w:val="style105"/>
    <w:next w:val="style191"/>
    <w:uiPriority w:val="61"/>
    <w:pPr>
      <w:spacing w:after="0" w:lineRule="auto" w:line="240"/>
    </w:pP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c0504d"/>
      </w:tcPr>
    </w:tblStylePr>
    <w:tblStylePr w:type="lastRow">
      <w:pPr>
        <w:spacing w:before="0" w:after="0" w:lineRule="auto" w:line="240"/>
      </w:pPr>
      <w:rPr>
        <w:b/>
        <w:bCs/>
      </w:rPr>
      <w:tblPr/>
      <w:tcPr>
        <w:tcBorders>
          <w:top w:val="double" w:sz="6" w:space="0" w:color="c0504d"/>
          <w:left w:val="single" w:sz="8" w:space="0" w:color="c0504d"/>
          <w:bottom w:val="single" w:sz="8" w:space="0" w:color="c0504d"/>
          <w:right w:val="single" w:sz="8" w:space="0" w:color="c0504d"/>
        </w:tcBorders>
      </w:tcPr>
    </w:tblStylePr>
    <w:tblStylePr w:type="band1Horz">
      <w:pPr/>
      <w:tblPr/>
      <w:tcPr>
        <w:tcBorders>
          <w:top w:val="single" w:sz="8" w:space="0" w:color="c0504d"/>
          <w:left w:val="single" w:sz="8" w:space="0" w:color="c0504d"/>
          <w:bottom w:val="single" w:sz="8" w:space="0" w:color="c0504d"/>
          <w:right w:val="single" w:sz="8" w:space="0" w:color="c0504d"/>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c0504d"/>
          <w:left w:val="single" w:sz="8" w:space="0" w:color="c0504d"/>
          <w:bottom w:val="single" w:sz="8" w:space="0" w:color="c0504d"/>
          <w:right w:val="single" w:sz="8" w:space="0" w:color="c0504d"/>
        </w:tcBorders>
      </w:tcPr>
    </w:tblStylePr>
    <w:tcPr>
      <w:tcBorders/>
    </w:tcPr>
  </w:style>
  <w:style w:type="table" w:styleId="style205">
    <w:name w:val="Light List Accent 3"/>
    <w:basedOn w:val="style105"/>
    <w:next w:val="style205"/>
    <w:uiPriority w:val="61"/>
    <w:pPr>
      <w:spacing w:after="0" w:lineRule="auto" w:line="240"/>
    </w:pPr>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9bbb59"/>
      </w:tcPr>
    </w:tblStylePr>
    <w:tblStylePr w:type="lastRow">
      <w:pPr>
        <w:spacing w:before="0" w:after="0" w:lineRule="auto" w:line="240"/>
      </w:pPr>
      <w:rPr>
        <w:b/>
        <w:bCs/>
      </w:rPr>
      <w:tblPr/>
      <w:tcPr>
        <w:tcBorders>
          <w:top w:val="double" w:sz="6" w:space="0" w:color="9bbb59"/>
          <w:left w:val="single" w:sz="8" w:space="0" w:color="9bbb59"/>
          <w:bottom w:val="single" w:sz="8" w:space="0" w:color="9bbb59"/>
          <w:right w:val="single" w:sz="8" w:space="0" w:color="9bbb59"/>
        </w:tcBorders>
      </w:tcPr>
    </w:tblStylePr>
    <w:tblStylePr w:type="band1Horz">
      <w:pPr/>
      <w:tblPr/>
      <w:tcPr>
        <w:tcBorders>
          <w:top w:val="single" w:sz="8" w:space="0" w:color="9bbb59"/>
          <w:left w:val="single" w:sz="8" w:space="0" w:color="9bbb59"/>
          <w:bottom w:val="single" w:sz="8" w:space="0" w:color="9bbb59"/>
          <w:right w:val="single" w:sz="8" w:space="0" w:color="9bbb59"/>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9bbb59"/>
          <w:left w:val="single" w:sz="8" w:space="0" w:color="9bbb59"/>
          <w:bottom w:val="single" w:sz="8" w:space="0" w:color="9bbb59"/>
          <w:right w:val="single" w:sz="8" w:space="0" w:color="9bbb59"/>
        </w:tcBorders>
      </w:tcPr>
    </w:tblStylePr>
    <w:tcPr>
      <w:tcBorders/>
    </w:tcPr>
  </w:style>
  <w:style w:type="table" w:styleId="style219">
    <w:name w:val="Light List Accent 4"/>
    <w:basedOn w:val="style105"/>
    <w:next w:val="style219"/>
    <w:uiPriority w:val="61"/>
    <w:pPr>
      <w:spacing w:after="0" w:lineRule="auto" w:line="240"/>
    </w:pPr>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8064a2"/>
      </w:tcPr>
    </w:tblStylePr>
    <w:tblStylePr w:type="lastRow">
      <w:pPr>
        <w:spacing w:before="0" w:after="0" w:lineRule="auto" w:line="240"/>
      </w:pPr>
      <w:rPr>
        <w:b/>
        <w:bCs/>
      </w:rPr>
      <w:tblPr/>
      <w:tcPr>
        <w:tcBorders>
          <w:top w:val="double" w:sz="6" w:space="0" w:color="8064a2"/>
          <w:left w:val="single" w:sz="8" w:space="0" w:color="8064a2"/>
          <w:bottom w:val="single" w:sz="8" w:space="0" w:color="8064a2"/>
          <w:right w:val="single" w:sz="8" w:space="0" w:color="8064a2"/>
        </w:tcBorders>
      </w:tcPr>
    </w:tblStylePr>
    <w:tblStylePr w:type="band1Horz">
      <w:pPr/>
      <w:tblPr/>
      <w:tcPr>
        <w:tcBorders>
          <w:top w:val="single" w:sz="8" w:space="0" w:color="8064a2"/>
          <w:left w:val="single" w:sz="8" w:space="0" w:color="8064a2"/>
          <w:bottom w:val="single" w:sz="8" w:space="0" w:color="8064a2"/>
          <w:right w:val="single" w:sz="8" w:space="0" w:color="8064a2"/>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8064a2"/>
          <w:left w:val="single" w:sz="8" w:space="0" w:color="8064a2"/>
          <w:bottom w:val="single" w:sz="8" w:space="0" w:color="8064a2"/>
          <w:right w:val="single" w:sz="8" w:space="0" w:color="8064a2"/>
        </w:tcBorders>
      </w:tcPr>
    </w:tblStylePr>
    <w:tcPr>
      <w:tcBorders/>
    </w:tcPr>
  </w:style>
  <w:style w:type="table" w:styleId="style233">
    <w:name w:val="Light List Accent 5"/>
    <w:basedOn w:val="style105"/>
    <w:next w:val="style233"/>
    <w:uiPriority w:val="61"/>
    <w:pPr>
      <w:spacing w:after="0" w:lineRule="auto" w:line="240"/>
    </w:pPr>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4bacc6"/>
      </w:tcPr>
    </w:tblStylePr>
    <w:tblStylePr w:type="lastRow">
      <w:pPr>
        <w:spacing w:before="0" w:after="0" w:lineRule="auto" w:line="240"/>
      </w:pPr>
      <w:rPr>
        <w:b/>
        <w:bCs/>
      </w:rPr>
      <w:tblPr/>
      <w:tcPr>
        <w:tcBorders>
          <w:top w:val="double" w:sz="6" w:space="0" w:color="4bacc6"/>
          <w:left w:val="single" w:sz="8" w:space="0" w:color="4bacc6"/>
          <w:bottom w:val="single" w:sz="8" w:space="0" w:color="4bacc6"/>
          <w:right w:val="single" w:sz="8" w:space="0" w:color="4bacc6"/>
        </w:tcBorders>
      </w:tcPr>
    </w:tblStylePr>
    <w:tblStylePr w:type="band1Horz">
      <w:pPr/>
      <w:tblPr/>
      <w:tcPr>
        <w:tcBorders>
          <w:top w:val="single" w:sz="8" w:space="0" w:color="4bacc6"/>
          <w:left w:val="single" w:sz="8" w:space="0" w:color="4bacc6"/>
          <w:bottom w:val="single" w:sz="8" w:space="0" w:color="4bacc6"/>
          <w:right w:val="single" w:sz="8" w:space="0" w:color="4bacc6"/>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4bacc6"/>
          <w:left w:val="single" w:sz="8" w:space="0" w:color="4bacc6"/>
          <w:bottom w:val="single" w:sz="8" w:space="0" w:color="4bacc6"/>
          <w:right w:val="single" w:sz="8" w:space="0" w:color="4bacc6"/>
        </w:tcBorders>
      </w:tcPr>
    </w:tblStylePr>
    <w:tcPr>
      <w:tcBorders/>
    </w:tcPr>
  </w:style>
  <w:style w:type="table" w:styleId="style247">
    <w:name w:val="Light List Accent 6"/>
    <w:basedOn w:val="style105"/>
    <w:next w:val="style247"/>
    <w:uiPriority w:val="61"/>
    <w:pPr>
      <w:spacing w:after="0" w:lineRule="auto" w:line="240"/>
    </w:pPr>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f79646"/>
      </w:tcPr>
    </w:tblStylePr>
    <w:tblStylePr w:type="lastRow">
      <w:pPr>
        <w:spacing w:before="0" w:after="0" w:lineRule="auto" w:line="240"/>
      </w:pPr>
      <w:rPr>
        <w:b/>
        <w:bCs/>
      </w:rPr>
      <w:tblPr/>
      <w:tcPr>
        <w:tcBorders>
          <w:top w:val="double" w:sz="6" w:space="0" w:color="f79646"/>
          <w:left w:val="single" w:sz="8" w:space="0" w:color="f79646"/>
          <w:bottom w:val="single" w:sz="8" w:space="0" w:color="f79646"/>
          <w:right w:val="single" w:sz="8" w:space="0" w:color="f79646"/>
        </w:tcBorders>
      </w:tcPr>
    </w:tblStylePr>
    <w:tblStylePr w:type="band1Horz">
      <w:pPr/>
      <w:tblPr/>
      <w:tcPr>
        <w:tcBorders>
          <w:top w:val="single" w:sz="8" w:space="0" w:color="f79646"/>
          <w:left w:val="single" w:sz="8" w:space="0" w:color="f79646"/>
          <w:bottom w:val="single" w:sz="8" w:space="0" w:color="f79646"/>
          <w:right w:val="single" w:sz="8" w:space="0" w:color="f79646"/>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f79646"/>
          <w:left w:val="single" w:sz="8" w:space="0" w:color="f79646"/>
          <w:bottom w:val="single" w:sz="8" w:space="0" w:color="f79646"/>
          <w:right w:val="single" w:sz="8" w:space="0" w:color="f79646"/>
        </w:tcBorders>
      </w:tcPr>
    </w:tblStylePr>
    <w:tcPr>
      <w:tcBorders/>
    </w:tcPr>
  </w:style>
  <w:style w:type="table" w:styleId="style160">
    <w:name w:val="Light Grid"/>
    <w:basedOn w:val="style105"/>
    <w:next w:val="style160"/>
    <w:uiPriority w:val="62"/>
    <w:pPr>
      <w:spacing w:after="0" w:lineRule="auto" w:line="240"/>
    </w:pP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Rule="auto" w:line="240"/>
      </w:pPr>
      <w:rPr>
        <w:rFonts w:ascii="Calibri" w:cs="宋体" w:eastAsia="ＭＳ ゴシック" w:hAnsi="Calibri"/>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band1Horz">
      <w:p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pPr/>
      <w:tblPr/>
      <w:tcPr>
        <w:tcBorders>
          <w:top w:val="single" w:sz="8" w:space="0" w:color="000000"/>
          <w:left w:val="single" w:sz="8" w:space="0" w:color="000000"/>
          <w:bottom w:val="single" w:sz="8" w:space="0" w:color="000000"/>
          <w:right w:val="single" w:sz="8" w:space="0" w:color="000000"/>
          <w:insideV w:val="single" w:sz="8" w:space="0" w:color="000000"/>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000000"/>
          <w:left w:val="single" w:sz="8" w:space="0" w:color="000000"/>
          <w:bottom w:val="single" w:sz="8" w:space="0" w:color="000000"/>
          <w:right w:val="single" w:sz="8" w:space="0" w:color="000000"/>
        </w:tcBorders>
      </w:tcPr>
    </w:tblStylePr>
    <w:tblStylePr w:type="band1Vert">
      <w:pPr/>
      <w:tblPr/>
      <w:tcPr>
        <w:tcBorders>
          <w:top w:val="single" w:sz="8" w:space="0" w:color="000000"/>
          <w:left w:val="single" w:sz="8" w:space="0" w:color="000000"/>
          <w:bottom w:val="single" w:sz="8" w:space="0" w:color="000000"/>
          <w:right w:val="single" w:sz="8" w:space="0" w:color="000000"/>
        </w:tcBorders>
        <w:shd w:val="clear" w:color="auto" w:fill="c0c0c0"/>
      </w:tcPr>
    </w:tblStylePr>
    <w:tcPr>
      <w:tcBorders/>
    </w:tcPr>
  </w:style>
  <w:style w:type="table" w:styleId="style174">
    <w:name w:val="Light Grid Accent 1"/>
    <w:basedOn w:val="style105"/>
    <w:next w:val="style174"/>
    <w:uiPriority w:val="62"/>
    <w:pPr>
      <w:spacing w:after="0" w:lineRule="auto" w:line="240"/>
    </w:pP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Rule="auto" w:line="240"/>
      </w:pPr>
      <w:rPr>
        <w:rFonts w:ascii="Calibri" w:cs="宋体" w:eastAsia="ＭＳ ゴシック" w:hAnsi="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band1Horz">
      <w:p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pPr/>
      <w:tblPr/>
      <w:tcPr>
        <w:tcBorders>
          <w:top w:val="single" w:sz="8" w:space="0" w:color="4f81bd"/>
          <w:left w:val="single" w:sz="8" w:space="0" w:color="4f81bd"/>
          <w:bottom w:val="single" w:sz="8" w:space="0" w:color="4f81bd"/>
          <w:right w:val="single" w:sz="8" w:space="0" w:color="4f81bd"/>
          <w:insideV w:val="single" w:sz="8" w:space="0" w:color="4f81bd"/>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4f81bd"/>
          <w:left w:val="single" w:sz="8" w:space="0" w:color="4f81bd"/>
          <w:bottom w:val="single" w:sz="8" w:space="0" w:color="4f81bd"/>
          <w:right w:val="single" w:sz="8" w:space="0" w:color="4f81bd"/>
        </w:tcBorders>
      </w:tcPr>
    </w:tblStylePr>
    <w:tblStylePr w:type="band1Vert">
      <w:pPr/>
      <w:tblPr/>
      <w:tcPr>
        <w:tcBorders>
          <w:top w:val="single" w:sz="8" w:space="0" w:color="4f81bd"/>
          <w:left w:val="single" w:sz="8" w:space="0" w:color="4f81bd"/>
          <w:bottom w:val="single" w:sz="8" w:space="0" w:color="4f81bd"/>
          <w:right w:val="single" w:sz="8" w:space="0" w:color="4f81bd"/>
        </w:tcBorders>
        <w:shd w:val="clear" w:color="auto" w:fill="d3dfee"/>
      </w:tcPr>
    </w:tblStylePr>
    <w:tcPr>
      <w:tcBorders/>
    </w:tcPr>
  </w:style>
  <w:style w:type="table" w:styleId="style192">
    <w:name w:val="Light Grid Accent 2"/>
    <w:basedOn w:val="style105"/>
    <w:next w:val="style192"/>
    <w:uiPriority w:val="62"/>
    <w:pPr>
      <w:spacing w:after="0" w:lineRule="auto" w:line="240"/>
    </w:pPr>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Rule="auto" w:line="240"/>
      </w:pPr>
      <w:rPr>
        <w:rFonts w:ascii="Calibri" w:cs="宋体" w:eastAsia="ＭＳ ゴシック" w:hAnsi="Calibri"/>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band1Horz">
      <w:p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pPr/>
      <w:tblPr/>
      <w:tcPr>
        <w:tcBorders>
          <w:top w:val="single" w:sz="8" w:space="0" w:color="c0504d"/>
          <w:left w:val="single" w:sz="8" w:space="0" w:color="c0504d"/>
          <w:bottom w:val="single" w:sz="8" w:space="0" w:color="c0504d"/>
          <w:right w:val="single" w:sz="8" w:space="0" w:color="c0504d"/>
          <w:insideV w:val="single" w:sz="8" w:space="0" w:color="c0504d"/>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c0504d"/>
          <w:left w:val="single" w:sz="8" w:space="0" w:color="c0504d"/>
          <w:bottom w:val="single" w:sz="8" w:space="0" w:color="c0504d"/>
          <w:right w:val="single" w:sz="8" w:space="0" w:color="c0504d"/>
        </w:tcBorders>
      </w:tcPr>
    </w:tblStylePr>
    <w:tblStylePr w:type="band1Vert">
      <w:pPr/>
      <w:tblPr/>
      <w:tcPr>
        <w:tcBorders>
          <w:top w:val="single" w:sz="8" w:space="0" w:color="c0504d"/>
          <w:left w:val="single" w:sz="8" w:space="0" w:color="c0504d"/>
          <w:bottom w:val="single" w:sz="8" w:space="0" w:color="c0504d"/>
          <w:right w:val="single" w:sz="8" w:space="0" w:color="c0504d"/>
        </w:tcBorders>
        <w:shd w:val="clear" w:color="auto" w:fill="efd3d2"/>
      </w:tcPr>
    </w:tblStylePr>
    <w:tcPr>
      <w:tcBorders/>
    </w:tcPr>
  </w:style>
  <w:style w:type="table" w:styleId="style206">
    <w:name w:val="Light Grid Accent 3"/>
    <w:basedOn w:val="style105"/>
    <w:next w:val="style206"/>
    <w:uiPriority w:val="62"/>
    <w:pPr>
      <w:spacing w:after="0" w:lineRule="auto" w:line="240"/>
    </w:pPr>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Rule="auto" w:line="240"/>
      </w:pPr>
      <w:rPr>
        <w:rFonts w:ascii="Calibri" w:cs="宋体" w:eastAsia="ＭＳ ゴシック" w:hAnsi="Calibri"/>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band1Horz">
      <w:p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pPr/>
      <w:tblPr/>
      <w:tcPr>
        <w:tcBorders>
          <w:top w:val="single" w:sz="8" w:space="0" w:color="9bbb59"/>
          <w:left w:val="single" w:sz="8" w:space="0" w:color="9bbb59"/>
          <w:bottom w:val="single" w:sz="8" w:space="0" w:color="9bbb59"/>
          <w:right w:val="single" w:sz="8" w:space="0" w:color="9bbb59"/>
          <w:insideV w:val="single" w:sz="8" w:space="0" w:color="9bbb59"/>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9bbb59"/>
          <w:left w:val="single" w:sz="8" w:space="0" w:color="9bbb59"/>
          <w:bottom w:val="single" w:sz="8" w:space="0" w:color="9bbb59"/>
          <w:right w:val="single" w:sz="8" w:space="0" w:color="9bbb59"/>
        </w:tcBorders>
      </w:tcPr>
    </w:tblStylePr>
    <w:tblStylePr w:type="band1Vert">
      <w:pPr/>
      <w:tblPr/>
      <w:tcPr>
        <w:tcBorders>
          <w:top w:val="single" w:sz="8" w:space="0" w:color="9bbb59"/>
          <w:left w:val="single" w:sz="8" w:space="0" w:color="9bbb59"/>
          <w:bottom w:val="single" w:sz="8" w:space="0" w:color="9bbb59"/>
          <w:right w:val="single" w:sz="8" w:space="0" w:color="9bbb59"/>
        </w:tcBorders>
        <w:shd w:val="clear" w:color="auto" w:fill="e6eed5"/>
      </w:tcPr>
    </w:tblStylePr>
    <w:tcPr>
      <w:tcBorders/>
    </w:tcPr>
  </w:style>
  <w:style w:type="table" w:styleId="style220">
    <w:name w:val="Light Grid Accent 4"/>
    <w:basedOn w:val="style105"/>
    <w:next w:val="style220"/>
    <w:uiPriority w:val="62"/>
    <w:pPr>
      <w:spacing w:after="0" w:lineRule="auto" w:line="240"/>
    </w:pPr>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Rule="auto" w:line="240"/>
      </w:pPr>
      <w:rPr>
        <w:rFonts w:ascii="Calibri" w:cs="宋体" w:eastAsia="ＭＳ ゴシック" w:hAnsi="Calibri"/>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band1Horz">
      <w:pPr/>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pPr/>
      <w:tblPr/>
      <w:tcPr>
        <w:tcBorders>
          <w:top w:val="single" w:sz="8" w:space="0" w:color="8064a2"/>
          <w:left w:val="single" w:sz="8" w:space="0" w:color="8064a2"/>
          <w:bottom w:val="single" w:sz="8" w:space="0" w:color="8064a2"/>
          <w:right w:val="single" w:sz="8" w:space="0" w:color="8064a2"/>
          <w:insideV w:val="single" w:sz="8" w:space="0" w:color="8064a2"/>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8064a2"/>
          <w:left w:val="single" w:sz="8" w:space="0" w:color="8064a2"/>
          <w:bottom w:val="single" w:sz="8" w:space="0" w:color="8064a2"/>
          <w:right w:val="single" w:sz="8" w:space="0" w:color="8064a2"/>
        </w:tcBorders>
      </w:tcPr>
    </w:tblStylePr>
    <w:tblStylePr w:type="band1Vert">
      <w:pPr/>
      <w:tblPr/>
      <w:tcPr>
        <w:tcBorders>
          <w:top w:val="single" w:sz="8" w:space="0" w:color="8064a2"/>
          <w:left w:val="single" w:sz="8" w:space="0" w:color="8064a2"/>
          <w:bottom w:val="single" w:sz="8" w:space="0" w:color="8064a2"/>
          <w:right w:val="single" w:sz="8" w:space="0" w:color="8064a2"/>
        </w:tcBorders>
        <w:shd w:val="clear" w:color="auto" w:fill="dfd8e8"/>
      </w:tcPr>
    </w:tblStylePr>
    <w:tcPr>
      <w:tcBorders/>
    </w:tcPr>
  </w:style>
  <w:style w:type="table" w:styleId="style234">
    <w:name w:val="Light Grid Accent 5"/>
    <w:basedOn w:val="style105"/>
    <w:next w:val="style234"/>
    <w:uiPriority w:val="62"/>
    <w:pPr>
      <w:spacing w:after="0" w:lineRule="auto" w:line="240"/>
    </w:pP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Rule="auto" w:line="240"/>
      </w:pPr>
      <w:rPr>
        <w:rFonts w:ascii="Calibri" w:cs="宋体" w:eastAsia="ＭＳ ゴシック" w:hAnsi="Calibri"/>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band1Horz">
      <w:p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pPr/>
      <w:tblPr/>
      <w:tcPr>
        <w:tcBorders>
          <w:top w:val="single" w:sz="8" w:space="0" w:color="4bacc6"/>
          <w:left w:val="single" w:sz="8" w:space="0" w:color="4bacc6"/>
          <w:bottom w:val="single" w:sz="8" w:space="0" w:color="4bacc6"/>
          <w:right w:val="single" w:sz="8" w:space="0" w:color="4bacc6"/>
          <w:insideV w:val="single" w:sz="8" w:space="0" w:color="4bacc6"/>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4bacc6"/>
          <w:left w:val="single" w:sz="8" w:space="0" w:color="4bacc6"/>
          <w:bottom w:val="single" w:sz="8" w:space="0" w:color="4bacc6"/>
          <w:right w:val="single" w:sz="8" w:space="0" w:color="4bacc6"/>
        </w:tcBorders>
      </w:tcPr>
    </w:tblStylePr>
    <w:tblStylePr w:type="band1Vert">
      <w:pPr/>
      <w:tblPr/>
      <w:tcPr>
        <w:tcBorders>
          <w:top w:val="single" w:sz="8" w:space="0" w:color="4bacc6"/>
          <w:left w:val="single" w:sz="8" w:space="0" w:color="4bacc6"/>
          <w:bottom w:val="single" w:sz="8" w:space="0" w:color="4bacc6"/>
          <w:right w:val="single" w:sz="8" w:space="0" w:color="4bacc6"/>
        </w:tcBorders>
        <w:shd w:val="clear" w:color="auto" w:fill="d2eaf1"/>
      </w:tcPr>
    </w:tblStylePr>
    <w:tcPr>
      <w:tcBorders/>
    </w:tcPr>
  </w:style>
  <w:style w:type="table" w:styleId="style248">
    <w:name w:val="Light Grid Accent 6"/>
    <w:basedOn w:val="style105"/>
    <w:next w:val="style248"/>
    <w:uiPriority w:val="62"/>
    <w:pPr>
      <w:spacing w:after="0" w:lineRule="auto" w:line="240"/>
    </w:pP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Rule="auto" w:line="240"/>
      </w:pPr>
      <w:rPr>
        <w:rFonts w:ascii="Calibri" w:cs="宋体" w:eastAsia="ＭＳ ゴシック" w:hAnsi="Calibri"/>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band1Horz">
      <w:pPr/>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pPr/>
      <w:tblPr/>
      <w:tcPr>
        <w:tcBorders>
          <w:top w:val="single" w:sz="8" w:space="0" w:color="f79646"/>
          <w:left w:val="single" w:sz="8" w:space="0" w:color="f79646"/>
          <w:bottom w:val="single" w:sz="8" w:space="0" w:color="f79646"/>
          <w:right w:val="single" w:sz="8" w:space="0" w:color="f79646"/>
          <w:insideV w:val="single" w:sz="8" w:space="0" w:color="f79646"/>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f79646"/>
          <w:left w:val="single" w:sz="8" w:space="0" w:color="f79646"/>
          <w:bottom w:val="single" w:sz="8" w:space="0" w:color="f79646"/>
          <w:right w:val="single" w:sz="8" w:space="0" w:color="f79646"/>
        </w:tcBorders>
      </w:tcPr>
    </w:tblStylePr>
    <w:tblStylePr w:type="band1Vert">
      <w:pPr/>
      <w:tblPr/>
      <w:tcPr>
        <w:tcBorders>
          <w:top w:val="single" w:sz="8" w:space="0" w:color="f79646"/>
          <w:left w:val="single" w:sz="8" w:space="0" w:color="f79646"/>
          <w:bottom w:val="single" w:sz="8" w:space="0" w:color="f79646"/>
          <w:right w:val="single" w:sz="8" w:space="0" w:color="f79646"/>
        </w:tcBorders>
        <w:shd w:val="clear" w:color="auto" w:fill="fde4d0"/>
      </w:tcPr>
    </w:tblStylePr>
    <w:tcPr>
      <w:tcBorders/>
    </w:tcPr>
  </w:style>
  <w:style w:type="table" w:styleId="style161">
    <w:name w:val="Medium Shading 1"/>
    <w:basedOn w:val="style105"/>
    <w:next w:val="style161"/>
    <w:uiPriority w:val="63"/>
    <w:pPr>
      <w:spacing w:after="0" w:lineRule="auto" w:line="240"/>
    </w:pP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Rule="auto" w:line="240"/>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band1Horz">
      <w:pPr/>
      <w:tblPr/>
      <w:tcPr>
        <w:tcBorders>
          <w:insideH w:val="nil"/>
          <w:insideV w:val="nil"/>
        </w:tcBorders>
        <w:shd w:val="clear" w:color="auto" w:fill="c0c0c0"/>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c0c0c0"/>
      </w:tcPr>
    </w:tblStylePr>
    <w:tcPr>
      <w:tcBorders/>
    </w:tcPr>
  </w:style>
  <w:style w:type="table" w:styleId="style175">
    <w:name w:val="Medium Shading 1 Accent 1"/>
    <w:basedOn w:val="style105"/>
    <w:next w:val="style175"/>
    <w:uiPriority w:val="63"/>
    <w:pPr>
      <w:spacing w:after="0" w:lineRule="auto" w:line="240"/>
    </w:pP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Rule="auto" w:line="240"/>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band1Horz">
      <w:pPr/>
      <w:tblPr/>
      <w:tcPr>
        <w:tcBorders>
          <w:insideH w:val="nil"/>
          <w:insideV w:val="nil"/>
        </w:tcBorders>
        <w:shd w:val="clear" w:color="auto" w:fill="d3dfee"/>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d3dfee"/>
      </w:tcPr>
    </w:tblStylePr>
    <w:tcPr>
      <w:tcBorders/>
    </w:tcPr>
  </w:style>
  <w:style w:type="table" w:styleId="style193">
    <w:name w:val="Medium Shading 1 Accent 2"/>
    <w:basedOn w:val="style105"/>
    <w:next w:val="style193"/>
    <w:uiPriority w:val="63"/>
    <w:pPr>
      <w:spacing w:after="0" w:lineRule="auto" w:line="240"/>
    </w:pP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Rule="auto" w:line="240"/>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band1Horz">
      <w:pPr/>
      <w:tblPr/>
      <w:tcPr>
        <w:tcBorders>
          <w:insideH w:val="nil"/>
          <w:insideV w:val="nil"/>
        </w:tcBorders>
        <w:shd w:val="clear" w:color="auto" w:fill="efd3d2"/>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efd3d2"/>
      </w:tcPr>
    </w:tblStylePr>
    <w:tcPr>
      <w:tcBorders/>
    </w:tcPr>
  </w:style>
  <w:style w:type="table" w:styleId="style207">
    <w:name w:val="Medium Shading 1 Accent 3"/>
    <w:basedOn w:val="style105"/>
    <w:next w:val="style207"/>
    <w:uiPriority w:val="63"/>
    <w:pPr>
      <w:spacing w:after="0" w:lineRule="auto" w:line="240"/>
    </w:pPr>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Rule="auto" w:line="240"/>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band1Horz">
      <w:pPr/>
      <w:tblPr/>
      <w:tcPr>
        <w:tcBorders>
          <w:insideH w:val="nil"/>
          <w:insideV w:val="nil"/>
        </w:tcBorders>
        <w:shd w:val="clear" w:color="auto" w:fill="e6eed5"/>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e6eed5"/>
      </w:tcPr>
    </w:tblStylePr>
    <w:tcPr>
      <w:tcBorders/>
    </w:tcPr>
  </w:style>
  <w:style w:type="table" w:styleId="style221">
    <w:name w:val="Medium Shading 1 Accent 4"/>
    <w:basedOn w:val="style105"/>
    <w:next w:val="style221"/>
    <w:uiPriority w:val="63"/>
    <w:pPr>
      <w:spacing w:after="0" w:lineRule="auto" w:line="240"/>
    </w:pP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Rule="auto" w:line="240"/>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band1Horz">
      <w:pPr/>
      <w:tblPr/>
      <w:tcPr>
        <w:tcBorders>
          <w:insideH w:val="nil"/>
          <w:insideV w:val="nil"/>
        </w:tcBorders>
        <w:shd w:val="clear" w:color="auto" w:fill="dfd8e8"/>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dfd8e8"/>
      </w:tcPr>
    </w:tblStylePr>
    <w:tcPr>
      <w:tcBorders/>
    </w:tcPr>
  </w:style>
  <w:style w:type="table" w:styleId="style235">
    <w:name w:val="Medium Shading 1 Accent 5"/>
    <w:basedOn w:val="style105"/>
    <w:next w:val="style235"/>
    <w:uiPriority w:val="63"/>
    <w:pPr>
      <w:spacing w:after="0" w:lineRule="auto" w:line="240"/>
    </w:pP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Rule="auto" w:line="240"/>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band1Horz">
      <w:pPr/>
      <w:tblPr/>
      <w:tcPr>
        <w:tcBorders>
          <w:insideH w:val="nil"/>
          <w:insideV w:val="nil"/>
        </w:tcBorders>
        <w:shd w:val="clear" w:color="auto" w:fill="d2eaf1"/>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d2eaf1"/>
      </w:tcPr>
    </w:tblStylePr>
    <w:tcPr>
      <w:tcBorders/>
    </w:tcPr>
  </w:style>
  <w:style w:type="table" w:styleId="style249">
    <w:name w:val="Medium Shading 1 Accent 6"/>
    <w:basedOn w:val="style105"/>
    <w:next w:val="style249"/>
    <w:uiPriority w:val="63"/>
    <w:pPr>
      <w:spacing w:after="0" w:lineRule="auto" w:line="240"/>
    </w:pPr>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Rule="auto" w:line="240"/>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band1Horz">
      <w:pPr/>
      <w:tblPr/>
      <w:tcPr>
        <w:tcBorders>
          <w:insideH w:val="nil"/>
          <w:insideV w:val="nil"/>
        </w:tcBorders>
        <w:shd w:val="clear" w:color="auto" w:fill="fde4d0"/>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fde4d0"/>
      </w:tcPr>
    </w:tblStylePr>
    <w:tcPr>
      <w:tcBorders/>
    </w:tcPr>
  </w:style>
  <w:style w:type="table" w:styleId="style162">
    <w:name w:val="Medium Shading 2"/>
    <w:basedOn w:val="style105"/>
    <w:next w:val="style162"/>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000000"/>
      </w:tcPr>
    </w:tblStylePr>
    <w:tblStylePr w:type="lastCol">
      <w:pPr/>
      <w:rPr>
        <w:b/>
        <w:bCs/>
        <w:color w:val="ffffff"/>
      </w:rPr>
      <w:tblPr/>
      <w:tcPr>
        <w:tcBorders>
          <w:left w:val="nil"/>
          <w:right w:val="nil"/>
          <w:insideH w:val="nil"/>
          <w:insideV w:val="nil"/>
        </w:tcBorders>
        <w:shd w:val="clear" w:color="auto" w:fill="000000"/>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176">
    <w:name w:val="Medium Shading 2 Accent 1"/>
    <w:basedOn w:val="style105"/>
    <w:next w:val="style176"/>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4f81bd"/>
      </w:tcPr>
    </w:tblStylePr>
    <w:tblStylePr w:type="lastCol">
      <w:pPr/>
      <w:rPr>
        <w:b/>
        <w:bCs/>
        <w:color w:val="ffffff"/>
      </w:rPr>
      <w:tblPr/>
      <w:tcPr>
        <w:tcBorders>
          <w:left w:val="nil"/>
          <w:right w:val="nil"/>
          <w:insideH w:val="nil"/>
          <w:insideV w:val="nil"/>
        </w:tcBorders>
        <w:shd w:val="clear" w:color="auto" w:fill="4f81bd"/>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194">
    <w:name w:val="Medium Shading 2 Accent 2"/>
    <w:basedOn w:val="style105"/>
    <w:next w:val="style194"/>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c0504d"/>
      </w:tcPr>
    </w:tblStylePr>
    <w:tblStylePr w:type="lastCol">
      <w:pPr/>
      <w:rPr>
        <w:b/>
        <w:bCs/>
        <w:color w:val="ffffff"/>
      </w:rPr>
      <w:tblPr/>
      <w:tcPr>
        <w:tcBorders>
          <w:left w:val="nil"/>
          <w:right w:val="nil"/>
          <w:insideH w:val="nil"/>
          <w:insideV w:val="nil"/>
        </w:tcBorders>
        <w:shd w:val="clear" w:color="auto" w:fill="c0504d"/>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208">
    <w:name w:val="Medium Shading 2 Accent 3"/>
    <w:basedOn w:val="style105"/>
    <w:next w:val="style208"/>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9bbb59"/>
      </w:tcPr>
    </w:tblStylePr>
    <w:tblStylePr w:type="lastCol">
      <w:pPr/>
      <w:rPr>
        <w:b/>
        <w:bCs/>
        <w:color w:val="ffffff"/>
      </w:rPr>
      <w:tblPr/>
      <w:tcPr>
        <w:tcBorders>
          <w:left w:val="nil"/>
          <w:right w:val="nil"/>
          <w:insideH w:val="nil"/>
          <w:insideV w:val="nil"/>
        </w:tcBorders>
        <w:shd w:val="clear" w:color="auto" w:fill="9bbb59"/>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222">
    <w:name w:val="Medium Shading 2 Accent 4"/>
    <w:basedOn w:val="style105"/>
    <w:next w:val="style222"/>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8064a2"/>
      </w:tcPr>
    </w:tblStylePr>
    <w:tblStylePr w:type="lastCol">
      <w:pPr/>
      <w:rPr>
        <w:b/>
        <w:bCs/>
        <w:color w:val="ffffff"/>
      </w:rPr>
      <w:tblPr/>
      <w:tcPr>
        <w:tcBorders>
          <w:left w:val="nil"/>
          <w:right w:val="nil"/>
          <w:insideH w:val="nil"/>
          <w:insideV w:val="nil"/>
        </w:tcBorders>
        <w:shd w:val="clear" w:color="auto" w:fill="8064a2"/>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236">
    <w:name w:val="Medium Shading 2 Accent 5"/>
    <w:basedOn w:val="style105"/>
    <w:next w:val="style236"/>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4bacc6"/>
      </w:tcPr>
    </w:tblStylePr>
    <w:tblStylePr w:type="lastCol">
      <w:pPr/>
      <w:rPr>
        <w:b/>
        <w:bCs/>
        <w:color w:val="ffffff"/>
      </w:rPr>
      <w:tblPr/>
      <w:tcPr>
        <w:tcBorders>
          <w:left w:val="nil"/>
          <w:right w:val="nil"/>
          <w:insideH w:val="nil"/>
          <w:insideV w:val="nil"/>
        </w:tcBorders>
        <w:shd w:val="clear" w:color="auto" w:fill="4bacc6"/>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250">
    <w:name w:val="Medium Shading 2 Accent 6"/>
    <w:basedOn w:val="style105"/>
    <w:next w:val="style250"/>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f79646"/>
      </w:tcPr>
    </w:tblStylePr>
    <w:tblStylePr w:type="lastCol">
      <w:pPr/>
      <w:rPr>
        <w:b/>
        <w:bCs/>
        <w:color w:val="ffffff"/>
      </w:rPr>
      <w:tblPr/>
      <w:tcPr>
        <w:tcBorders>
          <w:left w:val="nil"/>
          <w:right w:val="nil"/>
          <w:insideH w:val="nil"/>
          <w:insideV w:val="nil"/>
        </w:tcBorders>
        <w:shd w:val="clear" w:color="auto" w:fill="f79646"/>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163">
    <w:name w:val="Medium List 1"/>
    <w:basedOn w:val="style105"/>
    <w:next w:val="style163"/>
    <w:uiPriority w:val="65"/>
    <w:pPr>
      <w:spacing w:after="0" w:lineRule="auto" w:line="240"/>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000000"/>
        </w:tcBorders>
      </w:tcPr>
    </w:tblStylePr>
    <w:tblStylePr w:type="lastRow">
      <w:pPr/>
      <w:rPr>
        <w:b/>
        <w:bCs/>
        <w:color w:val="1f497d"/>
      </w:rPr>
      <w:tblPr/>
      <w:tcPr>
        <w:tcBorders>
          <w:top w:val="single" w:sz="8" w:space="0" w:color="000000"/>
          <w:bottom w:val="single" w:sz="8" w:space="0" w:color="000000"/>
        </w:tcBorders>
      </w:tcPr>
    </w:tblStylePr>
    <w:tblStylePr w:type="band1Horz">
      <w:pPr/>
      <w:tblPr/>
      <w:tcPr>
        <w:tcBorders/>
        <w:shd w:val="clear" w:color="auto" w:fill="c0c0c0"/>
      </w:tcPr>
    </w:tblStylePr>
    <w:tblStylePr w:type="firstCol">
      <w:pPr/>
      <w:rPr>
        <w:b/>
        <w:bCs/>
      </w:rPr>
      <w:tcPr>
        <w:tcBorders/>
      </w:tcPr>
    </w:tblStylePr>
    <w:tblStylePr w:type="lastCol">
      <w:pPr/>
      <w:rPr>
        <w:b/>
        <w:bCs/>
      </w:rPr>
      <w:tblPr/>
      <w:tcPr>
        <w:tcBorders>
          <w:top w:val="single" w:sz="8" w:space="0" w:color="000000"/>
          <w:bottom w:val="single" w:sz="8" w:space="0" w:color="000000"/>
        </w:tcBorders>
      </w:tcPr>
    </w:tblStylePr>
    <w:tblStylePr w:type="band1Vert">
      <w:pPr/>
      <w:tblPr/>
      <w:tcPr>
        <w:tcBorders/>
        <w:shd w:val="clear" w:color="auto" w:fill="c0c0c0"/>
      </w:tcPr>
    </w:tblStylePr>
    <w:tcPr>
      <w:tcBorders/>
    </w:tcPr>
  </w:style>
  <w:style w:type="table" w:styleId="style177">
    <w:name w:val="Medium List 1 Accent 1"/>
    <w:basedOn w:val="style105"/>
    <w:next w:val="style177"/>
    <w:uiPriority w:val="65"/>
    <w:pPr>
      <w:spacing w:after="0" w:lineRule="auto" w:line="240"/>
    </w:pPr>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4f81bd"/>
        </w:tcBorders>
      </w:tcPr>
    </w:tblStylePr>
    <w:tblStylePr w:type="lastRow">
      <w:pPr/>
      <w:rPr>
        <w:b/>
        <w:bCs/>
        <w:color w:val="1f497d"/>
      </w:rPr>
      <w:tblPr/>
      <w:tcPr>
        <w:tcBorders>
          <w:top w:val="single" w:sz="8" w:space="0" w:color="4f81bd"/>
          <w:bottom w:val="single" w:sz="8" w:space="0" w:color="4f81bd"/>
        </w:tcBorders>
      </w:tcPr>
    </w:tblStylePr>
    <w:tblStylePr w:type="band1Horz">
      <w:pPr/>
      <w:tblPr/>
      <w:tcPr>
        <w:tcBorders/>
        <w:shd w:val="clear" w:color="auto" w:fill="d3dfee"/>
      </w:tcPr>
    </w:tblStylePr>
    <w:tblStylePr w:type="firstCol">
      <w:pPr/>
      <w:rPr>
        <w:b/>
        <w:bCs/>
      </w:rPr>
      <w:tcPr>
        <w:tcBorders/>
      </w:tcPr>
    </w:tblStylePr>
    <w:tblStylePr w:type="lastCol">
      <w:pPr/>
      <w:rPr>
        <w:b/>
        <w:bCs/>
      </w:rPr>
      <w:tblPr/>
      <w:tcPr>
        <w:tcBorders>
          <w:top w:val="single" w:sz="8" w:space="0" w:color="4f81bd"/>
          <w:bottom w:val="single" w:sz="8" w:space="0" w:color="4f81bd"/>
        </w:tcBorders>
      </w:tcPr>
    </w:tblStylePr>
    <w:tblStylePr w:type="band1Vert">
      <w:pPr/>
      <w:tblPr/>
      <w:tcPr>
        <w:tcBorders/>
        <w:shd w:val="clear" w:color="auto" w:fill="d3dfee"/>
      </w:tcPr>
    </w:tblStylePr>
    <w:tcPr>
      <w:tcBorders/>
    </w:tcPr>
  </w:style>
  <w:style w:type="table" w:styleId="style195">
    <w:name w:val="Medium List 1 Accent 2"/>
    <w:basedOn w:val="style105"/>
    <w:next w:val="style195"/>
    <w:uiPriority w:val="65"/>
    <w:pPr>
      <w:spacing w:after="0" w:lineRule="auto" w:line="240"/>
    </w:pPr>
    <w:rPr>
      <w:color w:val="00000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c0504d"/>
        </w:tcBorders>
      </w:tcPr>
    </w:tblStylePr>
    <w:tblStylePr w:type="lastRow">
      <w:pPr/>
      <w:rPr>
        <w:b/>
        <w:bCs/>
        <w:color w:val="1f497d"/>
      </w:rPr>
      <w:tblPr/>
      <w:tcPr>
        <w:tcBorders>
          <w:top w:val="single" w:sz="8" w:space="0" w:color="c0504d"/>
          <w:bottom w:val="single" w:sz="8" w:space="0" w:color="c0504d"/>
        </w:tcBorders>
      </w:tcPr>
    </w:tblStylePr>
    <w:tblStylePr w:type="band1Horz">
      <w:pPr/>
      <w:tblPr/>
      <w:tcPr>
        <w:tcBorders/>
        <w:shd w:val="clear" w:color="auto" w:fill="efd3d2"/>
      </w:tcPr>
    </w:tblStylePr>
    <w:tblStylePr w:type="firstCol">
      <w:pPr/>
      <w:rPr>
        <w:b/>
        <w:bCs/>
      </w:rPr>
      <w:tcPr>
        <w:tcBorders/>
      </w:tcPr>
    </w:tblStylePr>
    <w:tblStylePr w:type="lastCol">
      <w:pPr/>
      <w:rPr>
        <w:b/>
        <w:bCs/>
      </w:rPr>
      <w:tblPr/>
      <w:tcPr>
        <w:tcBorders>
          <w:top w:val="single" w:sz="8" w:space="0" w:color="c0504d"/>
          <w:bottom w:val="single" w:sz="8" w:space="0" w:color="c0504d"/>
        </w:tcBorders>
      </w:tcPr>
    </w:tblStylePr>
    <w:tblStylePr w:type="band1Vert">
      <w:pPr/>
      <w:tblPr/>
      <w:tcPr>
        <w:tcBorders/>
        <w:shd w:val="clear" w:color="auto" w:fill="efd3d2"/>
      </w:tcPr>
    </w:tblStylePr>
    <w:tcPr>
      <w:tcBorders/>
    </w:tcPr>
  </w:style>
  <w:style w:type="table" w:styleId="style209">
    <w:name w:val="Medium List 1 Accent 3"/>
    <w:basedOn w:val="style105"/>
    <w:next w:val="style209"/>
    <w:uiPriority w:val="65"/>
    <w:pPr>
      <w:spacing w:after="0" w:lineRule="auto" w:line="240"/>
    </w:pPr>
    <w:rPr>
      <w:color w:val="00000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9bbb59"/>
        </w:tcBorders>
      </w:tcPr>
    </w:tblStylePr>
    <w:tblStylePr w:type="lastRow">
      <w:pPr/>
      <w:rPr>
        <w:b/>
        <w:bCs/>
        <w:color w:val="1f497d"/>
      </w:rPr>
      <w:tblPr/>
      <w:tcPr>
        <w:tcBorders>
          <w:top w:val="single" w:sz="8" w:space="0" w:color="9bbb59"/>
          <w:bottom w:val="single" w:sz="8" w:space="0" w:color="9bbb59"/>
        </w:tcBorders>
      </w:tcPr>
    </w:tblStylePr>
    <w:tblStylePr w:type="band1Horz">
      <w:pPr/>
      <w:tblPr/>
      <w:tcPr>
        <w:tcBorders/>
        <w:shd w:val="clear" w:color="auto" w:fill="e6eed5"/>
      </w:tcPr>
    </w:tblStylePr>
    <w:tblStylePr w:type="firstCol">
      <w:pPr/>
      <w:rPr>
        <w:b/>
        <w:bCs/>
      </w:rPr>
      <w:tcPr>
        <w:tcBorders/>
      </w:tcPr>
    </w:tblStylePr>
    <w:tblStylePr w:type="lastCol">
      <w:pPr/>
      <w:rPr>
        <w:b/>
        <w:bCs/>
      </w:rPr>
      <w:tblPr/>
      <w:tcPr>
        <w:tcBorders>
          <w:top w:val="single" w:sz="8" w:space="0" w:color="9bbb59"/>
          <w:bottom w:val="single" w:sz="8" w:space="0" w:color="9bbb59"/>
        </w:tcBorders>
      </w:tcPr>
    </w:tblStylePr>
    <w:tblStylePr w:type="band1Vert">
      <w:pPr/>
      <w:tblPr/>
      <w:tcPr>
        <w:tcBorders/>
        <w:shd w:val="clear" w:color="auto" w:fill="e6eed5"/>
      </w:tcPr>
    </w:tblStylePr>
    <w:tcPr>
      <w:tcBorders/>
    </w:tcPr>
  </w:style>
  <w:style w:type="table" w:styleId="style223">
    <w:name w:val="Medium List 1 Accent 4"/>
    <w:basedOn w:val="style105"/>
    <w:next w:val="style223"/>
    <w:uiPriority w:val="65"/>
    <w:pPr>
      <w:spacing w:after="0" w:lineRule="auto" w:line="240"/>
    </w:pPr>
    <w:rPr>
      <w:color w:val="00000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8064a2"/>
        </w:tcBorders>
      </w:tcPr>
    </w:tblStylePr>
    <w:tblStylePr w:type="lastRow">
      <w:pPr/>
      <w:rPr>
        <w:b/>
        <w:bCs/>
        <w:color w:val="1f497d"/>
      </w:rPr>
      <w:tblPr/>
      <w:tcPr>
        <w:tcBorders>
          <w:top w:val="single" w:sz="8" w:space="0" w:color="8064a2"/>
          <w:bottom w:val="single" w:sz="8" w:space="0" w:color="8064a2"/>
        </w:tcBorders>
      </w:tcPr>
    </w:tblStylePr>
    <w:tblStylePr w:type="band1Horz">
      <w:pPr/>
      <w:tblPr/>
      <w:tcPr>
        <w:tcBorders/>
        <w:shd w:val="clear" w:color="auto" w:fill="dfd8e8"/>
      </w:tcPr>
    </w:tblStylePr>
    <w:tblStylePr w:type="firstCol">
      <w:pPr/>
      <w:rPr>
        <w:b/>
        <w:bCs/>
      </w:rPr>
      <w:tcPr>
        <w:tcBorders/>
      </w:tcPr>
    </w:tblStylePr>
    <w:tblStylePr w:type="lastCol">
      <w:pPr/>
      <w:rPr>
        <w:b/>
        <w:bCs/>
      </w:rPr>
      <w:tblPr/>
      <w:tcPr>
        <w:tcBorders>
          <w:top w:val="single" w:sz="8" w:space="0" w:color="8064a2"/>
          <w:bottom w:val="single" w:sz="8" w:space="0" w:color="8064a2"/>
        </w:tcBorders>
      </w:tcPr>
    </w:tblStylePr>
    <w:tblStylePr w:type="band1Vert">
      <w:pPr/>
      <w:tblPr/>
      <w:tcPr>
        <w:tcBorders/>
        <w:shd w:val="clear" w:color="auto" w:fill="dfd8e8"/>
      </w:tcPr>
    </w:tblStylePr>
    <w:tcPr>
      <w:tcBorders/>
    </w:tcPr>
  </w:style>
  <w:style w:type="table" w:styleId="style237">
    <w:name w:val="Medium List 1 Accent 5"/>
    <w:basedOn w:val="style105"/>
    <w:next w:val="style237"/>
    <w:uiPriority w:val="65"/>
    <w:pPr>
      <w:spacing w:after="0" w:lineRule="auto" w:line="240"/>
    </w:pPr>
    <w:rPr>
      <w:color w:val="00000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4bacc6"/>
        </w:tcBorders>
      </w:tcPr>
    </w:tblStylePr>
    <w:tblStylePr w:type="lastRow">
      <w:pPr/>
      <w:rPr>
        <w:b/>
        <w:bCs/>
        <w:color w:val="1f497d"/>
      </w:rPr>
      <w:tblPr/>
      <w:tcPr>
        <w:tcBorders>
          <w:top w:val="single" w:sz="8" w:space="0" w:color="4bacc6"/>
          <w:bottom w:val="single" w:sz="8" w:space="0" w:color="4bacc6"/>
        </w:tcBorders>
      </w:tcPr>
    </w:tblStylePr>
    <w:tblStylePr w:type="band1Horz">
      <w:pPr/>
      <w:tblPr/>
      <w:tcPr>
        <w:tcBorders/>
        <w:shd w:val="clear" w:color="auto" w:fill="d2eaf1"/>
      </w:tcPr>
    </w:tblStylePr>
    <w:tblStylePr w:type="firstCol">
      <w:pPr/>
      <w:rPr>
        <w:b/>
        <w:bCs/>
      </w:rPr>
      <w:tcPr>
        <w:tcBorders/>
      </w:tcPr>
    </w:tblStylePr>
    <w:tblStylePr w:type="lastCol">
      <w:pPr/>
      <w:rPr>
        <w:b/>
        <w:bCs/>
      </w:rPr>
      <w:tblPr/>
      <w:tcPr>
        <w:tcBorders>
          <w:top w:val="single" w:sz="8" w:space="0" w:color="4bacc6"/>
          <w:bottom w:val="single" w:sz="8" w:space="0" w:color="4bacc6"/>
        </w:tcBorders>
      </w:tcPr>
    </w:tblStylePr>
    <w:tblStylePr w:type="band1Vert">
      <w:pPr/>
      <w:tblPr/>
      <w:tcPr>
        <w:tcBorders/>
        <w:shd w:val="clear" w:color="auto" w:fill="d2eaf1"/>
      </w:tcPr>
    </w:tblStylePr>
    <w:tcPr>
      <w:tcBorders/>
    </w:tcPr>
  </w:style>
  <w:style w:type="table" w:styleId="style251">
    <w:name w:val="Medium List 1 Accent 6"/>
    <w:basedOn w:val="style105"/>
    <w:next w:val="style251"/>
    <w:uiPriority w:val="65"/>
    <w:pPr>
      <w:spacing w:after="0" w:lineRule="auto" w:line="240"/>
    </w:pPr>
    <w:rPr>
      <w:color w:val="00000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f79646"/>
        </w:tcBorders>
      </w:tcPr>
    </w:tblStylePr>
    <w:tblStylePr w:type="lastRow">
      <w:pPr/>
      <w:rPr>
        <w:b/>
        <w:bCs/>
        <w:color w:val="1f497d"/>
      </w:rPr>
      <w:tblPr/>
      <w:tcPr>
        <w:tcBorders>
          <w:top w:val="single" w:sz="8" w:space="0" w:color="f79646"/>
          <w:bottom w:val="single" w:sz="8" w:space="0" w:color="f79646"/>
        </w:tcBorders>
      </w:tcPr>
    </w:tblStylePr>
    <w:tblStylePr w:type="band1Horz">
      <w:pPr/>
      <w:tblPr/>
      <w:tcPr>
        <w:tcBorders/>
        <w:shd w:val="clear" w:color="auto" w:fill="fde4d0"/>
      </w:tcPr>
    </w:tblStylePr>
    <w:tblStylePr w:type="firstCol">
      <w:pPr/>
      <w:rPr>
        <w:b/>
        <w:bCs/>
      </w:rPr>
      <w:tcPr>
        <w:tcBorders/>
      </w:tcPr>
    </w:tblStylePr>
    <w:tblStylePr w:type="lastCol">
      <w:pPr/>
      <w:rPr>
        <w:b/>
        <w:bCs/>
      </w:rPr>
      <w:tblPr/>
      <w:tcPr>
        <w:tcBorders>
          <w:top w:val="single" w:sz="8" w:space="0" w:color="f79646"/>
          <w:bottom w:val="single" w:sz="8" w:space="0" w:color="f79646"/>
        </w:tcBorders>
      </w:tcPr>
    </w:tblStylePr>
    <w:tblStylePr w:type="band1Vert">
      <w:pPr/>
      <w:tblPr/>
      <w:tcPr>
        <w:tcBorders/>
        <w:shd w:val="clear" w:color="auto" w:fill="fde4d0"/>
      </w:tcPr>
    </w:tblStylePr>
    <w:tcPr>
      <w:tcBorders/>
    </w:tcPr>
  </w:style>
  <w:style w:type="table" w:styleId="style164">
    <w:name w:val="Medium List 2"/>
    <w:basedOn w:val="style105"/>
    <w:next w:val="style164"/>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000000"/>
          <w:right w:val="nil"/>
          <w:insideH w:val="nil"/>
          <w:insideV w:val="nil"/>
        </w:tcBorders>
        <w:shd w:val="clear" w:color="auto" w:fill="ffffff"/>
      </w:tcPr>
    </w:tblStylePr>
    <w:tblStylePr w:type="lastRow">
      <w:pPr/>
      <w:tblPr/>
      <w:tcPr>
        <w:tcBorders>
          <w:top w:val="single" w:sz="8" w:space="0" w:color="000000"/>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c0c0c0"/>
      </w:tcPr>
    </w:tblStylePr>
    <w:tblStylePr w:type="firstCol">
      <w:pPr/>
      <w:tblPr/>
      <w:tcPr>
        <w:tcBorders>
          <w:top w:val="nil"/>
          <w:left w:val="nil"/>
          <w:bottom w:val="nil"/>
          <w:right w:val="single" w:sz="8" w:space="0" w:color="000000"/>
          <w:insideH w:val="nil"/>
          <w:insideV w:val="nil"/>
        </w:tcBorders>
        <w:shd w:val="clear" w:color="auto" w:fill="ffffff"/>
      </w:tcPr>
    </w:tblStylePr>
    <w:tblStylePr w:type="lastCol">
      <w:pPr/>
      <w:tblPr/>
      <w:tcPr>
        <w:tcBorders>
          <w:top w:val="nil"/>
          <w:left w:val="single" w:sz="8" w:space="0" w:color="000000"/>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c0c0c0"/>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182">
    <w:name w:val="Medium List 2 Accent 1"/>
    <w:basedOn w:val="style105"/>
    <w:next w:val="style182"/>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4f81bd"/>
          <w:right w:val="nil"/>
          <w:insideH w:val="nil"/>
          <w:insideV w:val="nil"/>
        </w:tcBorders>
        <w:shd w:val="clear" w:color="auto" w:fill="ffffff"/>
      </w:tcPr>
    </w:tblStylePr>
    <w:tblStylePr w:type="lastRow">
      <w:pPr/>
      <w:tblPr/>
      <w:tcPr>
        <w:tcBorders>
          <w:top w:val="single" w:sz="8" w:space="0" w:color="4f81bd"/>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d3dfee"/>
      </w:tcPr>
    </w:tblStylePr>
    <w:tblStylePr w:type="firstCol">
      <w:pPr/>
      <w:tblPr/>
      <w:tcPr>
        <w:tcBorders>
          <w:top w:val="nil"/>
          <w:left w:val="nil"/>
          <w:bottom w:val="nil"/>
          <w:right w:val="single" w:sz="8" w:space="0" w:color="4f81bd"/>
          <w:insideH w:val="nil"/>
          <w:insideV w:val="nil"/>
        </w:tcBorders>
        <w:shd w:val="clear" w:color="auto" w:fill="ffffff"/>
      </w:tcPr>
    </w:tblStylePr>
    <w:tblStylePr w:type="lastCol">
      <w:pPr/>
      <w:tblPr/>
      <w:tcPr>
        <w:tcBorders>
          <w:top w:val="nil"/>
          <w:left w:val="single" w:sz="8" w:space="0" w:color="4f81bd"/>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d3dfee"/>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196">
    <w:name w:val="Medium List 2 Accent 2"/>
    <w:basedOn w:val="style105"/>
    <w:next w:val="style196"/>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c0504d"/>
          <w:right w:val="nil"/>
          <w:insideH w:val="nil"/>
          <w:insideV w:val="nil"/>
        </w:tcBorders>
        <w:shd w:val="clear" w:color="auto" w:fill="ffffff"/>
      </w:tcPr>
    </w:tblStylePr>
    <w:tblStylePr w:type="lastRow">
      <w:pPr/>
      <w:tblPr/>
      <w:tcPr>
        <w:tcBorders>
          <w:top w:val="single" w:sz="8" w:space="0" w:color="c0504d"/>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efd3d2"/>
      </w:tcPr>
    </w:tblStylePr>
    <w:tblStylePr w:type="firstCol">
      <w:pPr/>
      <w:tblPr/>
      <w:tcPr>
        <w:tcBorders>
          <w:top w:val="nil"/>
          <w:left w:val="nil"/>
          <w:bottom w:val="nil"/>
          <w:right w:val="single" w:sz="8" w:space="0" w:color="c0504d"/>
          <w:insideH w:val="nil"/>
          <w:insideV w:val="nil"/>
        </w:tcBorders>
        <w:shd w:val="clear" w:color="auto" w:fill="ffffff"/>
      </w:tcPr>
    </w:tblStylePr>
    <w:tblStylePr w:type="lastCol">
      <w:pPr/>
      <w:tblPr/>
      <w:tcPr>
        <w:tcBorders>
          <w:top w:val="nil"/>
          <w:left w:val="single" w:sz="8" w:space="0" w:color="c0504d"/>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efd3d2"/>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210">
    <w:name w:val="Medium List 2 Accent 3"/>
    <w:basedOn w:val="style105"/>
    <w:next w:val="style210"/>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9bbb59"/>
          <w:right w:val="nil"/>
          <w:insideH w:val="nil"/>
          <w:insideV w:val="nil"/>
        </w:tcBorders>
        <w:shd w:val="clear" w:color="auto" w:fill="ffffff"/>
      </w:tcPr>
    </w:tblStylePr>
    <w:tblStylePr w:type="lastRow">
      <w:pPr/>
      <w:tblPr/>
      <w:tcPr>
        <w:tcBorders>
          <w:top w:val="single" w:sz="8" w:space="0" w:color="9bbb59"/>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e6eed5"/>
      </w:tcPr>
    </w:tblStylePr>
    <w:tblStylePr w:type="firstCol">
      <w:pPr/>
      <w:tblPr/>
      <w:tcPr>
        <w:tcBorders>
          <w:top w:val="nil"/>
          <w:left w:val="nil"/>
          <w:bottom w:val="nil"/>
          <w:right w:val="single" w:sz="8" w:space="0" w:color="9bbb59"/>
          <w:insideH w:val="nil"/>
          <w:insideV w:val="nil"/>
        </w:tcBorders>
        <w:shd w:val="clear" w:color="auto" w:fill="ffffff"/>
      </w:tcPr>
    </w:tblStylePr>
    <w:tblStylePr w:type="lastCol">
      <w:pPr/>
      <w:tblPr/>
      <w:tcPr>
        <w:tcBorders>
          <w:top w:val="nil"/>
          <w:left w:val="single" w:sz="8" w:space="0" w:color="9bbb59"/>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e6eed5"/>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224">
    <w:name w:val="Medium List 2 Accent 4"/>
    <w:basedOn w:val="style105"/>
    <w:next w:val="style224"/>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8064a2"/>
          <w:right w:val="nil"/>
          <w:insideH w:val="nil"/>
          <w:insideV w:val="nil"/>
        </w:tcBorders>
        <w:shd w:val="clear" w:color="auto" w:fill="ffffff"/>
      </w:tcPr>
    </w:tblStylePr>
    <w:tblStylePr w:type="lastRow">
      <w:pPr/>
      <w:tblPr/>
      <w:tcPr>
        <w:tcBorders>
          <w:top w:val="single" w:sz="8" w:space="0" w:color="8064a2"/>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dfd8e8"/>
      </w:tcPr>
    </w:tblStylePr>
    <w:tblStylePr w:type="firstCol">
      <w:pPr/>
      <w:tblPr/>
      <w:tcPr>
        <w:tcBorders>
          <w:top w:val="nil"/>
          <w:left w:val="nil"/>
          <w:bottom w:val="nil"/>
          <w:right w:val="single" w:sz="8" w:space="0" w:color="8064a2"/>
          <w:insideH w:val="nil"/>
          <w:insideV w:val="nil"/>
        </w:tcBorders>
        <w:shd w:val="clear" w:color="auto" w:fill="ffffff"/>
      </w:tcPr>
    </w:tblStylePr>
    <w:tblStylePr w:type="lastCol">
      <w:pPr/>
      <w:tblPr/>
      <w:tcPr>
        <w:tcBorders>
          <w:top w:val="nil"/>
          <w:left w:val="single" w:sz="8" w:space="0" w:color="8064a2"/>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dfd8e8"/>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238">
    <w:name w:val="Medium List 2 Accent 5"/>
    <w:basedOn w:val="style105"/>
    <w:next w:val="style238"/>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4bacc6"/>
          <w:right w:val="nil"/>
          <w:insideH w:val="nil"/>
          <w:insideV w:val="nil"/>
        </w:tcBorders>
        <w:shd w:val="clear" w:color="auto" w:fill="ffffff"/>
      </w:tcPr>
    </w:tblStylePr>
    <w:tblStylePr w:type="lastRow">
      <w:pPr/>
      <w:tblPr/>
      <w:tcPr>
        <w:tcBorders>
          <w:top w:val="single" w:sz="8" w:space="0" w:color="4bacc6"/>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d2eaf1"/>
      </w:tcPr>
    </w:tblStylePr>
    <w:tblStylePr w:type="firstCol">
      <w:pPr/>
      <w:tblPr/>
      <w:tcPr>
        <w:tcBorders>
          <w:top w:val="nil"/>
          <w:left w:val="nil"/>
          <w:bottom w:val="nil"/>
          <w:right w:val="single" w:sz="8" w:space="0" w:color="4bacc6"/>
          <w:insideH w:val="nil"/>
          <w:insideV w:val="nil"/>
        </w:tcBorders>
        <w:shd w:val="clear" w:color="auto" w:fill="ffffff"/>
      </w:tcPr>
    </w:tblStylePr>
    <w:tblStylePr w:type="lastCol">
      <w:pPr/>
      <w:tblPr/>
      <w:tcPr>
        <w:tcBorders>
          <w:top w:val="nil"/>
          <w:left w:val="single" w:sz="8" w:space="0" w:color="4bacc6"/>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d2eaf1"/>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252">
    <w:name w:val="Medium List 2 Accent 6"/>
    <w:basedOn w:val="style105"/>
    <w:next w:val="style252"/>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f79646"/>
          <w:right w:val="nil"/>
          <w:insideH w:val="nil"/>
          <w:insideV w:val="nil"/>
        </w:tcBorders>
        <w:shd w:val="clear" w:color="auto" w:fill="ffffff"/>
      </w:tcPr>
    </w:tblStylePr>
    <w:tblStylePr w:type="lastRow">
      <w:pPr/>
      <w:tblPr/>
      <w:tcPr>
        <w:tcBorders>
          <w:top w:val="single" w:sz="8" w:space="0" w:color="f79646"/>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fde4d0"/>
      </w:tcPr>
    </w:tblStylePr>
    <w:tblStylePr w:type="firstCol">
      <w:pPr/>
      <w:tblPr/>
      <w:tcPr>
        <w:tcBorders>
          <w:top w:val="nil"/>
          <w:left w:val="nil"/>
          <w:bottom w:val="nil"/>
          <w:right w:val="single" w:sz="8" w:space="0" w:color="f79646"/>
          <w:insideH w:val="nil"/>
          <w:insideV w:val="nil"/>
        </w:tcBorders>
        <w:shd w:val="clear" w:color="auto" w:fill="ffffff"/>
      </w:tcPr>
    </w:tblStylePr>
    <w:tblStylePr w:type="lastCol">
      <w:pPr/>
      <w:tblPr/>
      <w:tcPr>
        <w:tcBorders>
          <w:top w:val="nil"/>
          <w:left w:val="single" w:sz="8" w:space="0" w:color="f79646"/>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fde4d0"/>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165">
    <w:name w:val="Medium Grid 1"/>
    <w:basedOn w:val="style105"/>
    <w:next w:val="style165"/>
    <w:uiPriority w:val="67"/>
    <w:pPr>
      <w:spacing w:after="0" w:lineRule="auto" w:line="240"/>
    </w:pP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shd w:val="clear" w:color="auto" w:fill="c0c0c0"/>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404040"/>
        </w:tcBorders>
      </w:tcPr>
    </w:tblStylePr>
    <w:tblStylePr w:type="band1Horz">
      <w:pPr/>
      <w:tblPr/>
      <w:tcPr>
        <w:tcBorders/>
        <w:shd w:val="clear" w:color="auto" w:fill="808080"/>
      </w:tcPr>
    </w:tblStylePr>
    <w:tblStylePr w:type="firstCol">
      <w:pPr/>
      <w:rPr>
        <w:b/>
        <w:bCs/>
      </w:rPr>
      <w:tcPr>
        <w:tcBorders/>
      </w:tcPr>
    </w:tblStylePr>
    <w:tblStylePr w:type="lastCol">
      <w:pPr/>
      <w:rPr>
        <w:b/>
        <w:bCs/>
      </w:rPr>
      <w:tcPr>
        <w:tcBorders/>
      </w:tcPr>
    </w:tblStylePr>
    <w:tblStylePr w:type="band1Vert">
      <w:pPr/>
      <w:tblPr/>
      <w:tcPr>
        <w:tcBorders/>
        <w:shd w:val="clear" w:color="auto" w:fill="808080"/>
      </w:tcPr>
    </w:tblStylePr>
    <w:tcPr>
      <w:tcBorders/>
      <w:shd w:val="clear" w:color="auto" w:fill="c0c0c0"/>
    </w:tcPr>
  </w:style>
  <w:style w:type="table" w:styleId="style183">
    <w:name w:val="Medium Grid 1 Accent 1"/>
    <w:basedOn w:val="style105"/>
    <w:next w:val="style183"/>
    <w:uiPriority w:val="67"/>
    <w:pPr>
      <w:spacing w:after="0" w:lineRule="auto" w:line="240"/>
    </w:pP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shd w:val="clear" w:color="auto" w:fill="d3dfee"/>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7ba0cd"/>
        </w:tcBorders>
      </w:tcPr>
    </w:tblStylePr>
    <w:tblStylePr w:type="band1Horz">
      <w:pPr/>
      <w:tblPr/>
      <w:tcPr>
        <w:tcBorders/>
        <w:shd w:val="clear" w:color="auto" w:fill="a7bfde"/>
      </w:tcPr>
    </w:tblStylePr>
    <w:tblStylePr w:type="firstCol">
      <w:pPr/>
      <w:rPr>
        <w:b/>
        <w:bCs/>
      </w:rPr>
      <w:tcPr>
        <w:tcBorders/>
      </w:tcPr>
    </w:tblStylePr>
    <w:tblStylePr w:type="lastCol">
      <w:pPr/>
      <w:rPr>
        <w:b/>
        <w:bCs/>
      </w:rPr>
      <w:tcPr>
        <w:tcBorders/>
      </w:tcPr>
    </w:tblStylePr>
    <w:tblStylePr w:type="band1Vert">
      <w:pPr/>
      <w:tblPr/>
      <w:tcPr>
        <w:tcBorders/>
        <w:shd w:val="clear" w:color="auto" w:fill="a7bfde"/>
      </w:tcPr>
    </w:tblStylePr>
    <w:tcPr>
      <w:tcBorders/>
      <w:shd w:val="clear" w:color="auto" w:fill="d3dfee"/>
    </w:tcPr>
  </w:style>
  <w:style w:type="table" w:styleId="style197">
    <w:name w:val="Medium Grid 1 Accent 2"/>
    <w:basedOn w:val="style105"/>
    <w:next w:val="style197"/>
    <w:uiPriority w:val="67"/>
    <w:pPr>
      <w:spacing w:after="0" w:lineRule="auto" w:line="240"/>
    </w:pP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shd w:val="clear" w:color="auto" w:fill="efd3d2"/>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cf7b79"/>
        </w:tcBorders>
      </w:tcPr>
    </w:tblStylePr>
    <w:tblStylePr w:type="band1Horz">
      <w:pPr/>
      <w:tblPr/>
      <w:tcPr>
        <w:tcBorders/>
        <w:shd w:val="clear" w:color="auto" w:fill="dfa7a6"/>
      </w:tcPr>
    </w:tblStylePr>
    <w:tblStylePr w:type="firstCol">
      <w:pPr/>
      <w:rPr>
        <w:b/>
        <w:bCs/>
      </w:rPr>
      <w:tcPr>
        <w:tcBorders/>
      </w:tcPr>
    </w:tblStylePr>
    <w:tblStylePr w:type="lastCol">
      <w:pPr/>
      <w:rPr>
        <w:b/>
        <w:bCs/>
      </w:rPr>
      <w:tcPr>
        <w:tcBorders/>
      </w:tcPr>
    </w:tblStylePr>
    <w:tblStylePr w:type="band1Vert">
      <w:pPr/>
      <w:tblPr/>
      <w:tcPr>
        <w:tcBorders/>
        <w:shd w:val="clear" w:color="auto" w:fill="dfa7a6"/>
      </w:tcPr>
    </w:tblStylePr>
    <w:tcPr>
      <w:tcBorders/>
      <w:shd w:val="clear" w:color="auto" w:fill="efd3d2"/>
    </w:tcPr>
  </w:style>
  <w:style w:type="table" w:styleId="style211">
    <w:name w:val="Medium Grid 1 Accent 3"/>
    <w:basedOn w:val="style105"/>
    <w:next w:val="style211"/>
    <w:uiPriority w:val="67"/>
    <w:pPr>
      <w:spacing w:after="0" w:lineRule="auto" w:line="240"/>
    </w:pPr>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shd w:val="clear" w:color="auto" w:fill="e6eed5"/>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b3cc82"/>
        </w:tcBorders>
      </w:tcPr>
    </w:tblStylePr>
    <w:tblStylePr w:type="band1Horz">
      <w:pPr/>
      <w:tblPr/>
      <w:tcPr>
        <w:tcBorders/>
        <w:shd w:val="clear" w:color="auto" w:fill="cdddac"/>
      </w:tcPr>
    </w:tblStylePr>
    <w:tblStylePr w:type="firstCol">
      <w:pPr/>
      <w:rPr>
        <w:b/>
        <w:bCs/>
      </w:rPr>
      <w:tcPr>
        <w:tcBorders/>
      </w:tcPr>
    </w:tblStylePr>
    <w:tblStylePr w:type="lastCol">
      <w:pPr/>
      <w:rPr>
        <w:b/>
        <w:bCs/>
      </w:rPr>
      <w:tcPr>
        <w:tcBorders/>
      </w:tcPr>
    </w:tblStylePr>
    <w:tblStylePr w:type="band1Vert">
      <w:pPr/>
      <w:tblPr/>
      <w:tcPr>
        <w:tcBorders/>
        <w:shd w:val="clear" w:color="auto" w:fill="cdddac"/>
      </w:tcPr>
    </w:tblStylePr>
    <w:tcPr>
      <w:tcBorders/>
      <w:shd w:val="clear" w:color="auto" w:fill="e6eed5"/>
    </w:tcPr>
  </w:style>
  <w:style w:type="table" w:styleId="style225">
    <w:name w:val="Medium Grid 1 Accent 4"/>
    <w:basedOn w:val="style105"/>
    <w:next w:val="style225"/>
    <w:uiPriority w:val="67"/>
    <w:pPr>
      <w:spacing w:after="0" w:lineRule="auto" w:line="240"/>
    </w:pP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shd w:val="clear" w:color="auto" w:fill="dfd8e8"/>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9f8ab9"/>
        </w:tcBorders>
      </w:tcPr>
    </w:tblStylePr>
    <w:tblStylePr w:type="band1Horz">
      <w:pPr/>
      <w:tblPr/>
      <w:tcPr>
        <w:tcBorders/>
        <w:shd w:val="clear" w:color="auto" w:fill="bfb1d0"/>
      </w:tcPr>
    </w:tblStylePr>
    <w:tblStylePr w:type="firstCol">
      <w:pPr/>
      <w:rPr>
        <w:b/>
        <w:bCs/>
      </w:rPr>
      <w:tcPr>
        <w:tcBorders/>
      </w:tcPr>
    </w:tblStylePr>
    <w:tblStylePr w:type="lastCol">
      <w:pPr/>
      <w:rPr>
        <w:b/>
        <w:bCs/>
      </w:rPr>
      <w:tcPr>
        <w:tcBorders/>
      </w:tcPr>
    </w:tblStylePr>
    <w:tblStylePr w:type="band1Vert">
      <w:pPr/>
      <w:tblPr/>
      <w:tcPr>
        <w:tcBorders/>
        <w:shd w:val="clear" w:color="auto" w:fill="bfb1d0"/>
      </w:tcPr>
    </w:tblStylePr>
    <w:tcPr>
      <w:tcBorders/>
      <w:shd w:val="clear" w:color="auto" w:fill="dfd8e8"/>
    </w:tcPr>
  </w:style>
  <w:style w:type="table" w:styleId="style239">
    <w:name w:val="Medium Grid 1 Accent 5"/>
    <w:basedOn w:val="style105"/>
    <w:next w:val="style239"/>
    <w:uiPriority w:val="67"/>
    <w:pPr>
      <w:spacing w:after="0" w:lineRule="auto" w:line="240"/>
    </w:pP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shd w:val="clear" w:color="auto" w:fill="d2eaf1"/>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78c0d4"/>
        </w:tcBorders>
      </w:tcPr>
    </w:tblStylePr>
    <w:tblStylePr w:type="band1Horz">
      <w:pPr/>
      <w:tblPr/>
      <w:tcPr>
        <w:tcBorders/>
        <w:shd w:val="clear" w:color="auto" w:fill="a5d5e2"/>
      </w:tcPr>
    </w:tblStylePr>
    <w:tblStylePr w:type="firstCol">
      <w:pPr/>
      <w:rPr>
        <w:b/>
        <w:bCs/>
      </w:rPr>
      <w:tcPr>
        <w:tcBorders/>
      </w:tcPr>
    </w:tblStylePr>
    <w:tblStylePr w:type="lastCol">
      <w:pPr/>
      <w:rPr>
        <w:b/>
        <w:bCs/>
      </w:rPr>
      <w:tcPr>
        <w:tcBorders/>
      </w:tcPr>
    </w:tblStylePr>
    <w:tblStylePr w:type="band1Vert">
      <w:pPr/>
      <w:tblPr/>
      <w:tcPr>
        <w:tcBorders/>
        <w:shd w:val="clear" w:color="auto" w:fill="a5d5e2"/>
      </w:tcPr>
    </w:tblStylePr>
    <w:tcPr>
      <w:tcBorders/>
      <w:shd w:val="clear" w:color="auto" w:fill="d2eaf1"/>
    </w:tcPr>
  </w:style>
  <w:style w:type="table" w:styleId="style253">
    <w:name w:val="Medium Grid 1 Accent 6"/>
    <w:basedOn w:val="style105"/>
    <w:next w:val="style253"/>
    <w:uiPriority w:val="67"/>
    <w:pPr>
      <w:spacing w:after="0" w:lineRule="auto" w:line="240"/>
    </w:pPr>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shd w:val="clear" w:color="auto" w:fill="fde4d0"/>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f9b074"/>
        </w:tcBorders>
      </w:tcPr>
    </w:tblStylePr>
    <w:tblStylePr w:type="band1Horz">
      <w:pPr/>
      <w:tblPr/>
      <w:tcPr>
        <w:tcBorders/>
        <w:shd w:val="clear" w:color="auto" w:fill="fbcaa2"/>
      </w:tcPr>
    </w:tblStylePr>
    <w:tblStylePr w:type="firstCol">
      <w:pPr/>
      <w:rPr>
        <w:b/>
        <w:bCs/>
      </w:rPr>
      <w:tcPr>
        <w:tcBorders/>
      </w:tcPr>
    </w:tblStylePr>
    <w:tblStylePr w:type="lastCol">
      <w:pPr/>
      <w:rPr>
        <w:b/>
        <w:bCs/>
      </w:rPr>
      <w:tcPr>
        <w:tcBorders/>
      </w:tcPr>
    </w:tblStylePr>
    <w:tblStylePr w:type="band1Vert">
      <w:pPr/>
      <w:tblPr/>
      <w:tcPr>
        <w:tcBorders/>
        <w:shd w:val="clear" w:color="auto" w:fill="fbcaa2"/>
      </w:tcPr>
    </w:tblStylePr>
    <w:tcPr>
      <w:tcBorders/>
      <w:shd w:val="clear" w:color="auto" w:fill="fde4d0"/>
    </w:tcPr>
  </w:style>
  <w:style w:type="table" w:styleId="style166">
    <w:name w:val="Medium Grid 2"/>
    <w:basedOn w:val="style105"/>
    <w:next w:val="style166"/>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c0c0c0"/>
      <w:tblCellMar>
        <w:top w:w="0" w:type="dxa"/>
        <w:left w:w="108" w:type="dxa"/>
        <w:bottom w:w="0" w:type="dxa"/>
        <w:right w:w="108" w:type="dxa"/>
      </w:tblCellMar>
    </w:tblPr>
    <w:tblStylePr w:type="firstRow">
      <w:pPr/>
      <w:rPr>
        <w:b/>
        <w:bCs/>
        <w:color w:val="000000"/>
      </w:rPr>
      <w:tblPr/>
      <w:tcPr>
        <w:tcBorders/>
        <w:shd w:val="clear" w:color="auto" w:fill="e6e6e6"/>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000000"/>
          <w:insideV w:val="single" w:sz="6" w:space="0" w:color="000000"/>
        </w:tcBorders>
        <w:shd w:val="clear" w:color="auto" w:fill="808080"/>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cccccc"/>
      </w:tcPr>
    </w:tblStylePr>
    <w:tblStylePr w:type="band1Vert">
      <w:pPr/>
      <w:tblPr/>
      <w:tcPr>
        <w:tcBorders/>
        <w:shd w:val="clear" w:color="auto" w:fill="808080"/>
      </w:tcPr>
    </w:tblStylePr>
    <w:tblStylePr w:type="nwCell">
      <w:pPr/>
      <w:tblPr/>
      <w:tcPr>
        <w:tcBorders/>
        <w:shd w:val="clear" w:color="auto" w:fill="ffffff"/>
      </w:tcPr>
    </w:tblStylePr>
    <w:tcPr>
      <w:tcBorders/>
      <w:shd w:val="clear" w:color="auto" w:fill="c0c0c0"/>
    </w:tcPr>
  </w:style>
  <w:style w:type="table" w:styleId="style184">
    <w:name w:val="Medium Grid 2 Accent 1"/>
    <w:basedOn w:val="style105"/>
    <w:next w:val="style184"/>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shd w:val="clear" w:color="auto" w:fill="d3dfee"/>
      <w:tblCellMar>
        <w:top w:w="0" w:type="dxa"/>
        <w:left w:w="108" w:type="dxa"/>
        <w:bottom w:w="0" w:type="dxa"/>
        <w:right w:w="108" w:type="dxa"/>
      </w:tblCellMar>
    </w:tblPr>
    <w:tblStylePr w:type="firstRow">
      <w:pPr/>
      <w:rPr>
        <w:b/>
        <w:bCs/>
        <w:color w:val="000000"/>
      </w:rPr>
      <w:tblPr/>
      <w:tcPr>
        <w:tcBorders/>
        <w:shd w:val="clear" w:color="auto" w:fill="edf2f8"/>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4f81bd"/>
          <w:insideV w:val="single" w:sz="6" w:space="0" w:color="4f81bd"/>
        </w:tcBorders>
        <w:shd w:val="clear" w:color="auto" w:fill="a7bfde"/>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dbe5f1"/>
      </w:tcPr>
    </w:tblStylePr>
    <w:tblStylePr w:type="band1Vert">
      <w:pPr/>
      <w:tblPr/>
      <w:tcPr>
        <w:tcBorders/>
        <w:shd w:val="clear" w:color="auto" w:fill="a7bfde"/>
      </w:tcPr>
    </w:tblStylePr>
    <w:tblStylePr w:type="nwCell">
      <w:pPr/>
      <w:tblPr/>
      <w:tcPr>
        <w:tcBorders/>
        <w:shd w:val="clear" w:color="auto" w:fill="ffffff"/>
      </w:tcPr>
    </w:tblStylePr>
    <w:tcPr>
      <w:tcBorders/>
      <w:shd w:val="clear" w:color="auto" w:fill="d3dfee"/>
    </w:tcPr>
  </w:style>
  <w:style w:type="table" w:styleId="style198">
    <w:name w:val="Medium Grid 2 Accent 2"/>
    <w:basedOn w:val="style105"/>
    <w:next w:val="style198"/>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shd w:val="clear" w:color="auto" w:fill="efd3d2"/>
      <w:tblCellMar>
        <w:top w:w="0" w:type="dxa"/>
        <w:left w:w="108" w:type="dxa"/>
        <w:bottom w:w="0" w:type="dxa"/>
        <w:right w:w="108" w:type="dxa"/>
      </w:tblCellMar>
    </w:tblPr>
    <w:tblStylePr w:type="firstRow">
      <w:pPr/>
      <w:rPr>
        <w:b/>
        <w:bCs/>
        <w:color w:val="000000"/>
      </w:rPr>
      <w:tblPr/>
      <w:tcPr>
        <w:tcBorders/>
        <w:shd w:val="clear" w:color="auto" w:fill="f8eded"/>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c0504d"/>
          <w:insideV w:val="single" w:sz="6" w:space="0" w:color="c0504d"/>
        </w:tcBorders>
        <w:shd w:val="clear" w:color="auto" w:fill="dfa7a6"/>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f2dbdb"/>
      </w:tcPr>
    </w:tblStylePr>
    <w:tblStylePr w:type="band1Vert">
      <w:pPr/>
      <w:tblPr/>
      <w:tcPr>
        <w:tcBorders/>
        <w:shd w:val="clear" w:color="auto" w:fill="dfa7a6"/>
      </w:tcPr>
    </w:tblStylePr>
    <w:tblStylePr w:type="nwCell">
      <w:pPr/>
      <w:tblPr/>
      <w:tcPr>
        <w:tcBorders/>
        <w:shd w:val="clear" w:color="auto" w:fill="ffffff"/>
      </w:tcPr>
    </w:tblStylePr>
    <w:tcPr>
      <w:tcBorders/>
      <w:shd w:val="clear" w:color="auto" w:fill="efd3d2"/>
    </w:tcPr>
  </w:style>
  <w:style w:type="table" w:styleId="style212">
    <w:name w:val="Medium Grid 2 Accent 3"/>
    <w:basedOn w:val="style105"/>
    <w:next w:val="style212"/>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shd w:val="clear" w:color="auto" w:fill="e6eed5"/>
      <w:tblCellMar>
        <w:top w:w="0" w:type="dxa"/>
        <w:left w:w="108" w:type="dxa"/>
        <w:bottom w:w="0" w:type="dxa"/>
        <w:right w:w="108" w:type="dxa"/>
      </w:tblCellMar>
    </w:tblPr>
    <w:tblStylePr w:type="firstRow">
      <w:pPr/>
      <w:rPr>
        <w:b/>
        <w:bCs/>
        <w:color w:val="000000"/>
      </w:rPr>
      <w:tblPr/>
      <w:tcPr>
        <w:tcBorders/>
        <w:shd w:val="clear" w:color="auto" w:fill="f5f8ee"/>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9bbb59"/>
          <w:insideV w:val="single" w:sz="6" w:space="0" w:color="9bbb59"/>
        </w:tcBorders>
        <w:shd w:val="clear" w:color="auto" w:fill="cdddac"/>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eaf1dd"/>
      </w:tcPr>
    </w:tblStylePr>
    <w:tblStylePr w:type="band1Vert">
      <w:pPr/>
      <w:tblPr/>
      <w:tcPr>
        <w:tcBorders/>
        <w:shd w:val="clear" w:color="auto" w:fill="cdddac"/>
      </w:tcPr>
    </w:tblStylePr>
    <w:tblStylePr w:type="nwCell">
      <w:pPr/>
      <w:tblPr/>
      <w:tcPr>
        <w:tcBorders/>
        <w:shd w:val="clear" w:color="auto" w:fill="ffffff"/>
      </w:tcPr>
    </w:tblStylePr>
    <w:tcPr>
      <w:tcBorders/>
      <w:shd w:val="clear" w:color="auto" w:fill="e6eed5"/>
    </w:tcPr>
  </w:style>
  <w:style w:type="table" w:styleId="style226">
    <w:name w:val="Medium Grid 2 Accent 4"/>
    <w:basedOn w:val="style105"/>
    <w:next w:val="style226"/>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shd w:val="clear" w:color="auto" w:fill="dfd8e8"/>
      <w:tblCellMar>
        <w:top w:w="0" w:type="dxa"/>
        <w:left w:w="108" w:type="dxa"/>
        <w:bottom w:w="0" w:type="dxa"/>
        <w:right w:w="108" w:type="dxa"/>
      </w:tblCellMar>
    </w:tblPr>
    <w:tblStylePr w:type="firstRow">
      <w:pPr/>
      <w:rPr>
        <w:b/>
        <w:bCs/>
        <w:color w:val="000000"/>
      </w:rPr>
      <w:tblPr/>
      <w:tcPr>
        <w:tcBorders/>
        <w:shd w:val="clear" w:color="auto" w:fill="f2eff6"/>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8064a2"/>
          <w:insideV w:val="single" w:sz="6" w:space="0" w:color="8064a2"/>
        </w:tcBorders>
        <w:shd w:val="clear" w:color="auto" w:fill="bfb1d0"/>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e5dfec"/>
      </w:tcPr>
    </w:tblStylePr>
    <w:tblStylePr w:type="band1Vert">
      <w:pPr/>
      <w:tblPr/>
      <w:tcPr>
        <w:tcBorders/>
        <w:shd w:val="clear" w:color="auto" w:fill="bfb1d0"/>
      </w:tcPr>
    </w:tblStylePr>
    <w:tblStylePr w:type="nwCell">
      <w:pPr/>
      <w:tblPr/>
      <w:tcPr>
        <w:tcBorders/>
        <w:shd w:val="clear" w:color="auto" w:fill="ffffff"/>
      </w:tcPr>
    </w:tblStylePr>
    <w:tcPr>
      <w:tcBorders/>
      <w:shd w:val="clear" w:color="auto" w:fill="dfd8e8"/>
    </w:tcPr>
  </w:style>
  <w:style w:type="table" w:styleId="style240">
    <w:name w:val="Medium Grid 2 Accent 5"/>
    <w:basedOn w:val="style105"/>
    <w:next w:val="style240"/>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shd w:val="clear" w:color="auto" w:fill="d2eaf1"/>
      <w:tblCellMar>
        <w:top w:w="0" w:type="dxa"/>
        <w:left w:w="108" w:type="dxa"/>
        <w:bottom w:w="0" w:type="dxa"/>
        <w:right w:w="108" w:type="dxa"/>
      </w:tblCellMar>
    </w:tblPr>
    <w:tblStylePr w:type="firstRow">
      <w:pPr/>
      <w:rPr>
        <w:b/>
        <w:bCs/>
        <w:color w:val="000000"/>
      </w:rPr>
      <w:tblPr/>
      <w:tcPr>
        <w:tcBorders/>
        <w:shd w:val="clear" w:color="auto" w:fill="edf6f9"/>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4bacc6"/>
          <w:insideV w:val="single" w:sz="6" w:space="0" w:color="4bacc6"/>
        </w:tcBorders>
        <w:shd w:val="clear" w:color="auto" w:fill="a5d5e2"/>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daeef3"/>
      </w:tcPr>
    </w:tblStylePr>
    <w:tblStylePr w:type="band1Vert">
      <w:pPr/>
      <w:tblPr/>
      <w:tcPr>
        <w:tcBorders/>
        <w:shd w:val="clear" w:color="auto" w:fill="a5d5e2"/>
      </w:tcPr>
    </w:tblStylePr>
    <w:tblStylePr w:type="nwCell">
      <w:pPr/>
      <w:tblPr/>
      <w:tcPr>
        <w:tcBorders/>
        <w:shd w:val="clear" w:color="auto" w:fill="ffffff"/>
      </w:tcPr>
    </w:tblStylePr>
    <w:tcPr>
      <w:tcBorders/>
      <w:shd w:val="clear" w:color="auto" w:fill="d2eaf1"/>
    </w:tcPr>
  </w:style>
  <w:style w:type="table" w:styleId="style254">
    <w:name w:val="Medium Grid 2 Accent 6"/>
    <w:basedOn w:val="style105"/>
    <w:next w:val="style254"/>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shd w:val="clear" w:color="auto" w:fill="fde4d0"/>
      <w:tblCellMar>
        <w:top w:w="0" w:type="dxa"/>
        <w:left w:w="108" w:type="dxa"/>
        <w:bottom w:w="0" w:type="dxa"/>
        <w:right w:w="108" w:type="dxa"/>
      </w:tblCellMar>
    </w:tblPr>
    <w:tblStylePr w:type="firstRow">
      <w:pPr/>
      <w:rPr>
        <w:b/>
        <w:bCs/>
        <w:color w:val="000000"/>
      </w:rPr>
      <w:tblPr/>
      <w:tcPr>
        <w:tcBorders/>
        <w:shd w:val="clear" w:color="auto" w:fill="fef4ec"/>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f79646"/>
          <w:insideV w:val="single" w:sz="6" w:space="0" w:color="f79646"/>
        </w:tcBorders>
        <w:shd w:val="clear" w:color="auto" w:fill="fbcaa2"/>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fde9d9"/>
      </w:tcPr>
    </w:tblStylePr>
    <w:tblStylePr w:type="band1Vert">
      <w:pPr/>
      <w:tblPr/>
      <w:tcPr>
        <w:tcBorders/>
        <w:shd w:val="clear" w:color="auto" w:fill="fbcaa2"/>
      </w:tcPr>
    </w:tblStylePr>
    <w:tblStylePr w:type="nwCell">
      <w:pPr/>
      <w:tblPr/>
      <w:tcPr>
        <w:tcBorders/>
        <w:shd w:val="clear" w:color="auto" w:fill="ffffff"/>
      </w:tcPr>
    </w:tblStylePr>
    <w:tcPr>
      <w:tcBorders/>
      <w:shd w:val="clear" w:color="auto" w:fill="fde4d0"/>
    </w:tcPr>
  </w:style>
  <w:style w:type="table" w:styleId="style167">
    <w:name w:val="Medium Grid 3"/>
    <w:basedOn w:val="style105"/>
    <w:next w:val="style167"/>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c0c0c0"/>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000000"/>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000000"/>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cPr>
      <w:tcBorders/>
      <w:shd w:val="clear" w:color="auto" w:fill="c0c0c0"/>
    </w:tcPr>
  </w:style>
  <w:style w:type="table" w:styleId="style185">
    <w:name w:val="Medium Grid 3 Accent 1"/>
    <w:basedOn w:val="style105"/>
    <w:next w:val="style185"/>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3dfee"/>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4f81bd"/>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4f81bd"/>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cPr>
      <w:tcBorders/>
      <w:shd w:val="clear" w:color="auto" w:fill="d3dfee"/>
    </w:tcPr>
  </w:style>
  <w:style w:type="table" w:styleId="style199">
    <w:name w:val="Medium Grid 3 Accent 2"/>
    <w:basedOn w:val="style105"/>
    <w:next w:val="style199"/>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efd3d2"/>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c0504d"/>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c0504d"/>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cPr>
      <w:tcBorders/>
      <w:shd w:val="clear" w:color="auto" w:fill="efd3d2"/>
    </w:tcPr>
  </w:style>
  <w:style w:type="table" w:styleId="style213">
    <w:name w:val="Medium Grid 3 Accent 3"/>
    <w:basedOn w:val="style105"/>
    <w:next w:val="style213"/>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e6eed5"/>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9bbb59"/>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9bbb59"/>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cPr>
      <w:tcBorders/>
      <w:shd w:val="clear" w:color="auto" w:fill="e6eed5"/>
    </w:tcPr>
  </w:style>
  <w:style w:type="table" w:styleId="style227">
    <w:name w:val="Medium Grid 3 Accent 4"/>
    <w:basedOn w:val="style105"/>
    <w:next w:val="style227"/>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fd8e8"/>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8064a2"/>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8064a2"/>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cPr>
      <w:tcBorders/>
      <w:shd w:val="clear" w:color="auto" w:fill="dfd8e8"/>
    </w:tcPr>
  </w:style>
  <w:style w:type="table" w:styleId="style241">
    <w:name w:val="Medium Grid 3 Accent 5"/>
    <w:basedOn w:val="style105"/>
    <w:next w:val="style241"/>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2eaf1"/>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4bacc6"/>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4bacc6"/>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cPr>
      <w:tcBorders/>
      <w:shd w:val="clear" w:color="auto" w:fill="d2eaf1"/>
    </w:tcPr>
  </w:style>
  <w:style w:type="table" w:styleId="style255">
    <w:name w:val="Medium Grid 3 Accent 6"/>
    <w:basedOn w:val="style105"/>
    <w:next w:val="style255"/>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fde4d0"/>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f79646"/>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f79646"/>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cPr>
      <w:tcBorders/>
      <w:shd w:val="clear" w:color="auto" w:fill="fde4d0"/>
    </w:tcPr>
  </w:style>
  <w:style w:type="table" w:styleId="style168">
    <w:name w:val="Dark List"/>
    <w:basedOn w:val="style105"/>
    <w:next w:val="style168"/>
    <w:uiPriority w:val="70"/>
    <w:pPr>
      <w:spacing w:after="0" w:lineRule="auto" w:line="240"/>
    </w:pPr>
    <w:rPr>
      <w:color w:val="ffffff"/>
    </w:rPr>
    <w:tblPr>
      <w:tblStyleRowBandSize w:val="1"/>
      <w:tblStyleColBandSize w:val="1"/>
      <w:tblInd w:w="0" w:type="dxa"/>
      <w:shd w:val="clear" w:color="auto" w:fill="000000"/>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000000"/>
      </w:tcPr>
    </w:tblStylePr>
    <w:tblStylePr w:type="band1Horz">
      <w:pPr/>
      <w:tblPr/>
      <w:tcPr>
        <w:tcBorders>
          <w:top w:val="nil"/>
          <w:left w:val="nil"/>
          <w:bottom w:val="nil"/>
          <w:right w:val="nil"/>
          <w:insideH w:val="nil"/>
          <w:insideV w:val="nil"/>
        </w:tcBorders>
        <w:shd w:val="clear" w:color="auto" w:fill="000000"/>
      </w:tcPr>
    </w:tblStylePr>
    <w:tblStylePr w:type="firstCol">
      <w:pPr/>
      <w:tblPr/>
      <w:tcPr>
        <w:tcBorders>
          <w:top w:val="nil"/>
          <w:left w:val="nil"/>
          <w:bottom w:val="nil"/>
          <w:right w:val="single" w:sz="18" w:space="0" w:color="ffffff"/>
          <w:insideH w:val="nil"/>
          <w:insideV w:val="nil"/>
        </w:tcBorders>
        <w:shd w:val="clear" w:color="auto" w:fill="000000"/>
      </w:tcPr>
    </w:tblStylePr>
    <w:tblStylePr w:type="lastCol">
      <w:pPr/>
      <w:tblPr/>
      <w:tcPr>
        <w:tcBorders>
          <w:top w:val="nil"/>
          <w:left w:val="single" w:sz="18" w:space="0" w:color="ffffff"/>
          <w:bottom w:val="nil"/>
          <w:right w:val="nil"/>
          <w:insideH w:val="nil"/>
          <w:insideV w:val="nil"/>
        </w:tcBorders>
        <w:shd w:val="clear" w:color="auto" w:fill="000000"/>
      </w:tcPr>
    </w:tblStylePr>
    <w:tblStylePr w:type="band1Vert">
      <w:pPr/>
      <w:tblPr/>
      <w:tcPr>
        <w:tcBorders>
          <w:top w:val="nil"/>
          <w:left w:val="nil"/>
          <w:bottom w:val="nil"/>
          <w:right w:val="nil"/>
          <w:insideH w:val="nil"/>
          <w:insideV w:val="nil"/>
        </w:tcBorders>
        <w:shd w:val="clear" w:color="auto" w:fill="000000"/>
      </w:tcPr>
    </w:tblStylePr>
    <w:tcPr>
      <w:tcBorders/>
      <w:shd w:val="clear" w:color="auto" w:fill="000000"/>
    </w:tcPr>
  </w:style>
  <w:style w:type="table" w:styleId="style186">
    <w:name w:val="Dark List Accent 1"/>
    <w:basedOn w:val="style105"/>
    <w:next w:val="style186"/>
    <w:uiPriority w:val="70"/>
    <w:pPr>
      <w:spacing w:after="0" w:lineRule="auto" w:line="240"/>
    </w:pPr>
    <w:rPr>
      <w:color w:val="ffffff"/>
    </w:rPr>
    <w:tblPr>
      <w:tblStyleRowBandSize w:val="1"/>
      <w:tblStyleColBandSize w:val="1"/>
      <w:tblInd w:w="0" w:type="dxa"/>
      <w:shd w:val="clear" w:color="auto" w:fill="4f81bd"/>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243f60"/>
      </w:tcPr>
    </w:tblStylePr>
    <w:tblStylePr w:type="band1Horz">
      <w:pPr/>
      <w:tblPr/>
      <w:tcPr>
        <w:tcBorders>
          <w:top w:val="nil"/>
          <w:left w:val="nil"/>
          <w:bottom w:val="nil"/>
          <w:right w:val="nil"/>
          <w:insideH w:val="nil"/>
          <w:insideV w:val="nil"/>
        </w:tcBorders>
        <w:shd w:val="clear" w:color="auto" w:fill="365f91"/>
      </w:tcPr>
    </w:tblStylePr>
    <w:tblStylePr w:type="firstCol">
      <w:pPr/>
      <w:tblPr/>
      <w:tcPr>
        <w:tcBorders>
          <w:top w:val="nil"/>
          <w:left w:val="nil"/>
          <w:bottom w:val="nil"/>
          <w:right w:val="single" w:sz="18" w:space="0" w:color="ffffff"/>
          <w:insideH w:val="nil"/>
          <w:insideV w:val="nil"/>
        </w:tcBorders>
        <w:shd w:val="clear" w:color="auto" w:fill="365f91"/>
      </w:tcPr>
    </w:tblStylePr>
    <w:tblStylePr w:type="lastCol">
      <w:pPr/>
      <w:tblPr/>
      <w:tcPr>
        <w:tcBorders>
          <w:top w:val="nil"/>
          <w:left w:val="single" w:sz="18" w:space="0" w:color="ffffff"/>
          <w:bottom w:val="nil"/>
          <w:right w:val="nil"/>
          <w:insideH w:val="nil"/>
          <w:insideV w:val="nil"/>
        </w:tcBorders>
        <w:shd w:val="clear" w:color="auto" w:fill="365f91"/>
      </w:tcPr>
    </w:tblStylePr>
    <w:tblStylePr w:type="band1Vert">
      <w:pPr/>
      <w:tblPr/>
      <w:tcPr>
        <w:tcBorders>
          <w:top w:val="nil"/>
          <w:left w:val="nil"/>
          <w:bottom w:val="nil"/>
          <w:right w:val="nil"/>
          <w:insideH w:val="nil"/>
          <w:insideV w:val="nil"/>
        </w:tcBorders>
        <w:shd w:val="clear" w:color="auto" w:fill="365f91"/>
      </w:tcPr>
    </w:tblStylePr>
    <w:tcPr>
      <w:tcBorders/>
      <w:shd w:val="clear" w:color="auto" w:fill="4f81bd"/>
    </w:tcPr>
  </w:style>
  <w:style w:type="table" w:styleId="style200">
    <w:name w:val="Dark List Accent 2"/>
    <w:basedOn w:val="style105"/>
    <w:next w:val="style200"/>
    <w:uiPriority w:val="70"/>
    <w:pPr>
      <w:spacing w:after="0" w:lineRule="auto" w:line="240"/>
    </w:pPr>
    <w:rPr>
      <w:color w:val="ffffff"/>
    </w:rPr>
    <w:tblPr>
      <w:tblStyleRowBandSize w:val="1"/>
      <w:tblStyleColBandSize w:val="1"/>
      <w:tblInd w:w="0" w:type="dxa"/>
      <w:shd w:val="clear" w:color="auto" w:fill="c0504d"/>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622423"/>
      </w:tcPr>
    </w:tblStylePr>
    <w:tblStylePr w:type="band1Horz">
      <w:pPr/>
      <w:tblPr/>
      <w:tcPr>
        <w:tcBorders>
          <w:top w:val="nil"/>
          <w:left w:val="nil"/>
          <w:bottom w:val="nil"/>
          <w:right w:val="nil"/>
          <w:insideH w:val="nil"/>
          <w:insideV w:val="nil"/>
        </w:tcBorders>
        <w:shd w:val="clear" w:color="auto" w:fill="943634"/>
      </w:tcPr>
    </w:tblStylePr>
    <w:tblStylePr w:type="firstCol">
      <w:pPr/>
      <w:tblPr/>
      <w:tcPr>
        <w:tcBorders>
          <w:top w:val="nil"/>
          <w:left w:val="nil"/>
          <w:bottom w:val="nil"/>
          <w:right w:val="single" w:sz="18" w:space="0" w:color="ffffff"/>
          <w:insideH w:val="nil"/>
          <w:insideV w:val="nil"/>
        </w:tcBorders>
        <w:shd w:val="clear" w:color="auto" w:fill="943634"/>
      </w:tcPr>
    </w:tblStylePr>
    <w:tblStylePr w:type="lastCol">
      <w:pPr/>
      <w:tblPr/>
      <w:tcPr>
        <w:tcBorders>
          <w:top w:val="nil"/>
          <w:left w:val="single" w:sz="18" w:space="0" w:color="ffffff"/>
          <w:bottom w:val="nil"/>
          <w:right w:val="nil"/>
          <w:insideH w:val="nil"/>
          <w:insideV w:val="nil"/>
        </w:tcBorders>
        <w:shd w:val="clear" w:color="auto" w:fill="943634"/>
      </w:tcPr>
    </w:tblStylePr>
    <w:tblStylePr w:type="band1Vert">
      <w:pPr/>
      <w:tblPr/>
      <w:tcPr>
        <w:tcBorders>
          <w:top w:val="nil"/>
          <w:left w:val="nil"/>
          <w:bottom w:val="nil"/>
          <w:right w:val="nil"/>
          <w:insideH w:val="nil"/>
          <w:insideV w:val="nil"/>
        </w:tcBorders>
        <w:shd w:val="clear" w:color="auto" w:fill="943634"/>
      </w:tcPr>
    </w:tblStylePr>
    <w:tcPr>
      <w:tcBorders/>
      <w:shd w:val="clear" w:color="auto" w:fill="c0504d"/>
    </w:tcPr>
  </w:style>
  <w:style w:type="table" w:styleId="style214">
    <w:name w:val="Dark List Accent 3"/>
    <w:basedOn w:val="style105"/>
    <w:next w:val="style214"/>
    <w:uiPriority w:val="70"/>
    <w:pPr>
      <w:spacing w:after="0" w:lineRule="auto" w:line="240"/>
    </w:pPr>
    <w:rPr>
      <w:color w:val="ffffff"/>
    </w:rPr>
    <w:tblPr>
      <w:tblStyleRowBandSize w:val="1"/>
      <w:tblStyleColBandSize w:val="1"/>
      <w:tblInd w:w="0" w:type="dxa"/>
      <w:shd w:val="clear" w:color="auto" w:fill="9bbb59"/>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4e6128"/>
      </w:tcPr>
    </w:tblStylePr>
    <w:tblStylePr w:type="band1Horz">
      <w:pPr/>
      <w:tblPr/>
      <w:tcPr>
        <w:tcBorders>
          <w:top w:val="nil"/>
          <w:left w:val="nil"/>
          <w:bottom w:val="nil"/>
          <w:right w:val="nil"/>
          <w:insideH w:val="nil"/>
          <w:insideV w:val="nil"/>
        </w:tcBorders>
        <w:shd w:val="clear" w:color="auto" w:fill="76923c"/>
      </w:tcPr>
    </w:tblStylePr>
    <w:tblStylePr w:type="firstCol">
      <w:pPr/>
      <w:tblPr/>
      <w:tcPr>
        <w:tcBorders>
          <w:top w:val="nil"/>
          <w:left w:val="nil"/>
          <w:bottom w:val="nil"/>
          <w:right w:val="single" w:sz="18" w:space="0" w:color="ffffff"/>
          <w:insideH w:val="nil"/>
          <w:insideV w:val="nil"/>
        </w:tcBorders>
        <w:shd w:val="clear" w:color="auto" w:fill="76923c"/>
      </w:tcPr>
    </w:tblStylePr>
    <w:tblStylePr w:type="lastCol">
      <w:pPr/>
      <w:tblPr/>
      <w:tcPr>
        <w:tcBorders>
          <w:top w:val="nil"/>
          <w:left w:val="single" w:sz="18" w:space="0" w:color="ffffff"/>
          <w:bottom w:val="nil"/>
          <w:right w:val="nil"/>
          <w:insideH w:val="nil"/>
          <w:insideV w:val="nil"/>
        </w:tcBorders>
        <w:shd w:val="clear" w:color="auto" w:fill="76923c"/>
      </w:tcPr>
    </w:tblStylePr>
    <w:tblStylePr w:type="band1Vert">
      <w:pPr/>
      <w:tblPr/>
      <w:tcPr>
        <w:tcBorders>
          <w:top w:val="nil"/>
          <w:left w:val="nil"/>
          <w:bottom w:val="nil"/>
          <w:right w:val="nil"/>
          <w:insideH w:val="nil"/>
          <w:insideV w:val="nil"/>
        </w:tcBorders>
        <w:shd w:val="clear" w:color="auto" w:fill="76923c"/>
      </w:tcPr>
    </w:tblStylePr>
    <w:tcPr>
      <w:tcBorders/>
      <w:shd w:val="clear" w:color="auto" w:fill="9bbb59"/>
    </w:tcPr>
  </w:style>
  <w:style w:type="table" w:styleId="style228">
    <w:name w:val="Dark List Accent 4"/>
    <w:basedOn w:val="style105"/>
    <w:next w:val="style228"/>
    <w:uiPriority w:val="70"/>
    <w:pPr>
      <w:spacing w:after="0" w:lineRule="auto" w:line="240"/>
    </w:pPr>
    <w:rPr>
      <w:color w:val="ffffff"/>
    </w:rPr>
    <w:tblPr>
      <w:tblStyleRowBandSize w:val="1"/>
      <w:tblStyleColBandSize w:val="1"/>
      <w:tblInd w:w="0" w:type="dxa"/>
      <w:shd w:val="clear" w:color="auto" w:fill="8064a2"/>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3f3151"/>
      </w:tcPr>
    </w:tblStylePr>
    <w:tblStylePr w:type="band1Horz">
      <w:pPr/>
      <w:tblPr/>
      <w:tcPr>
        <w:tcBorders>
          <w:top w:val="nil"/>
          <w:left w:val="nil"/>
          <w:bottom w:val="nil"/>
          <w:right w:val="nil"/>
          <w:insideH w:val="nil"/>
          <w:insideV w:val="nil"/>
        </w:tcBorders>
        <w:shd w:val="clear" w:color="auto" w:fill="5f497a"/>
      </w:tcPr>
    </w:tblStylePr>
    <w:tblStylePr w:type="firstCol">
      <w:pPr/>
      <w:tblPr/>
      <w:tcPr>
        <w:tcBorders>
          <w:top w:val="nil"/>
          <w:left w:val="nil"/>
          <w:bottom w:val="nil"/>
          <w:right w:val="single" w:sz="18" w:space="0" w:color="ffffff"/>
          <w:insideH w:val="nil"/>
          <w:insideV w:val="nil"/>
        </w:tcBorders>
        <w:shd w:val="clear" w:color="auto" w:fill="5f497a"/>
      </w:tcPr>
    </w:tblStylePr>
    <w:tblStylePr w:type="lastCol">
      <w:pPr/>
      <w:tblPr/>
      <w:tcPr>
        <w:tcBorders>
          <w:top w:val="nil"/>
          <w:left w:val="single" w:sz="18" w:space="0" w:color="ffffff"/>
          <w:bottom w:val="nil"/>
          <w:right w:val="nil"/>
          <w:insideH w:val="nil"/>
          <w:insideV w:val="nil"/>
        </w:tcBorders>
        <w:shd w:val="clear" w:color="auto" w:fill="5f497a"/>
      </w:tcPr>
    </w:tblStylePr>
    <w:tblStylePr w:type="band1Vert">
      <w:pPr/>
      <w:tblPr/>
      <w:tcPr>
        <w:tcBorders>
          <w:top w:val="nil"/>
          <w:left w:val="nil"/>
          <w:bottom w:val="nil"/>
          <w:right w:val="nil"/>
          <w:insideH w:val="nil"/>
          <w:insideV w:val="nil"/>
        </w:tcBorders>
        <w:shd w:val="clear" w:color="auto" w:fill="5f497a"/>
      </w:tcPr>
    </w:tblStylePr>
    <w:tcPr>
      <w:tcBorders/>
      <w:shd w:val="clear" w:color="auto" w:fill="8064a2"/>
    </w:tcPr>
  </w:style>
  <w:style w:type="table" w:styleId="style242">
    <w:name w:val="Dark List Accent 5"/>
    <w:basedOn w:val="style105"/>
    <w:next w:val="style242"/>
    <w:uiPriority w:val="70"/>
    <w:pPr>
      <w:spacing w:after="0" w:lineRule="auto" w:line="240"/>
    </w:pPr>
    <w:rPr>
      <w:color w:val="ffffff"/>
    </w:rPr>
    <w:tblPr>
      <w:tblStyleRowBandSize w:val="1"/>
      <w:tblStyleColBandSize w:val="1"/>
      <w:tblInd w:w="0" w:type="dxa"/>
      <w:shd w:val="clear" w:color="auto" w:fill="4bacc6"/>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205867"/>
      </w:tcPr>
    </w:tblStylePr>
    <w:tblStylePr w:type="band1Horz">
      <w:pPr/>
      <w:tblPr/>
      <w:tcPr>
        <w:tcBorders>
          <w:top w:val="nil"/>
          <w:left w:val="nil"/>
          <w:bottom w:val="nil"/>
          <w:right w:val="nil"/>
          <w:insideH w:val="nil"/>
          <w:insideV w:val="nil"/>
        </w:tcBorders>
        <w:shd w:val="clear" w:color="auto" w:fill="31849b"/>
      </w:tcPr>
    </w:tblStylePr>
    <w:tblStylePr w:type="firstCol">
      <w:pPr/>
      <w:tblPr/>
      <w:tcPr>
        <w:tcBorders>
          <w:top w:val="nil"/>
          <w:left w:val="nil"/>
          <w:bottom w:val="nil"/>
          <w:right w:val="single" w:sz="18" w:space="0" w:color="ffffff"/>
          <w:insideH w:val="nil"/>
          <w:insideV w:val="nil"/>
        </w:tcBorders>
        <w:shd w:val="clear" w:color="auto" w:fill="31849b"/>
      </w:tcPr>
    </w:tblStylePr>
    <w:tblStylePr w:type="lastCol">
      <w:pPr/>
      <w:tblPr/>
      <w:tcPr>
        <w:tcBorders>
          <w:top w:val="nil"/>
          <w:left w:val="single" w:sz="18" w:space="0" w:color="ffffff"/>
          <w:bottom w:val="nil"/>
          <w:right w:val="nil"/>
          <w:insideH w:val="nil"/>
          <w:insideV w:val="nil"/>
        </w:tcBorders>
        <w:shd w:val="clear" w:color="auto" w:fill="31849b"/>
      </w:tcPr>
    </w:tblStylePr>
    <w:tblStylePr w:type="band1Vert">
      <w:pPr/>
      <w:tblPr/>
      <w:tcPr>
        <w:tcBorders>
          <w:top w:val="nil"/>
          <w:left w:val="nil"/>
          <w:bottom w:val="nil"/>
          <w:right w:val="nil"/>
          <w:insideH w:val="nil"/>
          <w:insideV w:val="nil"/>
        </w:tcBorders>
        <w:shd w:val="clear" w:color="auto" w:fill="31849b"/>
      </w:tcPr>
    </w:tblStylePr>
    <w:tcPr>
      <w:tcBorders/>
      <w:shd w:val="clear" w:color="auto" w:fill="4bacc6"/>
    </w:tcPr>
  </w:style>
  <w:style w:type="table" w:styleId="style256">
    <w:name w:val="Dark List Accent 6"/>
    <w:basedOn w:val="style105"/>
    <w:next w:val="style256"/>
    <w:uiPriority w:val="70"/>
    <w:pPr>
      <w:spacing w:after="0" w:lineRule="auto" w:line="240"/>
    </w:pPr>
    <w:rPr>
      <w:color w:val="ffffff"/>
    </w:rPr>
    <w:tblPr>
      <w:tblStyleRowBandSize w:val="1"/>
      <w:tblStyleColBandSize w:val="1"/>
      <w:tblInd w:w="0" w:type="dxa"/>
      <w:shd w:val="clear" w:color="auto" w:fill="f79646"/>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974706"/>
      </w:tcPr>
    </w:tblStylePr>
    <w:tblStylePr w:type="band1Horz">
      <w:pPr/>
      <w:tblPr/>
      <w:tcPr>
        <w:tcBorders>
          <w:top w:val="nil"/>
          <w:left w:val="nil"/>
          <w:bottom w:val="nil"/>
          <w:right w:val="nil"/>
          <w:insideH w:val="nil"/>
          <w:insideV w:val="nil"/>
        </w:tcBorders>
        <w:shd w:val="clear" w:color="auto" w:fill="e36c0a"/>
      </w:tcPr>
    </w:tblStylePr>
    <w:tblStylePr w:type="firstCol">
      <w:pPr/>
      <w:tblPr/>
      <w:tcPr>
        <w:tcBorders>
          <w:top w:val="nil"/>
          <w:left w:val="nil"/>
          <w:bottom w:val="nil"/>
          <w:right w:val="single" w:sz="18" w:space="0" w:color="ffffff"/>
          <w:insideH w:val="nil"/>
          <w:insideV w:val="nil"/>
        </w:tcBorders>
        <w:shd w:val="clear" w:color="auto" w:fill="e36c0a"/>
      </w:tcPr>
    </w:tblStylePr>
    <w:tblStylePr w:type="lastCol">
      <w:pPr/>
      <w:tblPr/>
      <w:tcPr>
        <w:tcBorders>
          <w:top w:val="nil"/>
          <w:left w:val="single" w:sz="18" w:space="0" w:color="ffffff"/>
          <w:bottom w:val="nil"/>
          <w:right w:val="nil"/>
          <w:insideH w:val="nil"/>
          <w:insideV w:val="nil"/>
        </w:tcBorders>
        <w:shd w:val="clear" w:color="auto" w:fill="e36c0a"/>
      </w:tcPr>
    </w:tblStylePr>
    <w:tblStylePr w:type="band1Vert">
      <w:pPr/>
      <w:tblPr/>
      <w:tcPr>
        <w:tcBorders>
          <w:top w:val="nil"/>
          <w:left w:val="nil"/>
          <w:bottom w:val="nil"/>
          <w:right w:val="nil"/>
          <w:insideH w:val="nil"/>
          <w:insideV w:val="nil"/>
        </w:tcBorders>
        <w:shd w:val="clear" w:color="auto" w:fill="e36c0a"/>
      </w:tcPr>
    </w:tblStylePr>
    <w:tcPr>
      <w:tcBorders/>
      <w:shd w:val="clear" w:color="auto" w:fill="f79646"/>
    </w:tcPr>
  </w:style>
  <w:style w:type="table" w:styleId="style169">
    <w:name w:val="Colorful Shading"/>
    <w:basedOn w:val="style105"/>
    <w:next w:val="style169"/>
    <w:uiPriority w:val="71"/>
    <w:pPr>
      <w:spacing w:after="0" w:lineRule="auto" w:line="240"/>
    </w:pPr>
    <w:rPr>
      <w:color w:val="000000"/>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shd w:val="clear" w:color="auto" w:fill="e6e6e6"/>
      <w:tblCellMar>
        <w:top w:w="0" w:type="dxa"/>
        <w:left w:w="108" w:type="dxa"/>
        <w:bottom w:w="0" w:type="dxa"/>
        <w:right w:w="108" w:type="dxa"/>
      </w:tblCellMar>
    </w:tblPr>
    <w:tblStylePr w:type="firstRow">
      <w:pPr/>
      <w:rPr>
        <w:b/>
        <w:bCs/>
      </w:rPr>
      <w:tblPr/>
      <w:tcPr>
        <w:tcBorders>
          <w:top w:val="nil"/>
          <w:left w:val="nil"/>
          <w:bottom w:val="single" w:sz="24" w:space="0" w:color="c0504d"/>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000000"/>
      </w:tcPr>
    </w:tblStylePr>
    <w:tblStylePr w:type="band1Horz">
      <w:pPr/>
      <w:tblPr/>
      <w:tcPr>
        <w:tcBorders/>
        <w:shd w:val="clear" w:color="auto" w:fill="808080"/>
      </w:tcPr>
    </w:tblStylePr>
    <w:tblStylePr w:type="firstCol">
      <w:pPr/>
      <w:rPr>
        <w:color w:val="ffffff"/>
      </w:rPr>
      <w:tblPr/>
      <w:tcPr>
        <w:tcBorders>
          <w:top w:val="nil"/>
          <w:left w:val="nil"/>
          <w:bottom w:val="nil"/>
          <w:right w:val="nil"/>
          <w:insideH w:val="single" w:sz="4" w:space="0" w:color="000000"/>
          <w:insideV w:val="nil"/>
        </w:tcBorders>
        <w:shd w:val="clear" w:color="auto" w:fill="000000"/>
      </w:tcPr>
    </w:tblStylePr>
    <w:tblStylePr w:type="lastCol">
      <w:pPr/>
      <w:rPr>
        <w:color w:val="ffffff"/>
      </w:rPr>
      <w:tblPr/>
      <w:tcPr>
        <w:tcBorders>
          <w:top w:val="nil"/>
          <w:left w:val="nil"/>
          <w:bottom w:val="nil"/>
          <w:right w:val="nil"/>
          <w:insideH w:val="nil"/>
          <w:insideV w:val="nil"/>
        </w:tcBorders>
        <w:shd w:val="clear" w:color="auto" w:fill="000000"/>
      </w:tcPr>
    </w:tblStylePr>
    <w:tblStylePr w:type="band1Vert">
      <w:pPr/>
      <w:tblPr/>
      <w:tcPr>
        <w:tcBorders/>
        <w:shd w:val="clear" w:color="auto" w:fill="999999"/>
      </w:tcPr>
    </w:tblStylePr>
    <w:tblStylePr w:type="neCell">
      <w:pPr/>
      <w:rPr>
        <w:color w:val="000000"/>
      </w:rPr>
      <w:tcPr>
        <w:tcBorders/>
      </w:tcPr>
    </w:tblStylePr>
    <w:tblStylePr w:type="nwCell">
      <w:pPr/>
      <w:rPr>
        <w:color w:val="000000"/>
      </w:rPr>
      <w:tcPr>
        <w:tcBorders/>
      </w:tcPr>
    </w:tblStylePr>
    <w:tcPr>
      <w:tcBorders/>
      <w:shd w:val="clear" w:color="auto" w:fill="e6e6e6"/>
    </w:tcPr>
  </w:style>
  <w:style w:type="table" w:styleId="style187">
    <w:name w:val="Colorful Shading Accent 1"/>
    <w:basedOn w:val="style105"/>
    <w:next w:val="style187"/>
    <w:uiPriority w:val="71"/>
    <w:pPr>
      <w:spacing w:after="0" w:lineRule="auto" w:line="240"/>
    </w:pPr>
    <w:rPr>
      <w:color w:val="000000"/>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shd w:val="clear" w:color="auto" w:fill="edf2f8"/>
      <w:tblCellMar>
        <w:top w:w="0" w:type="dxa"/>
        <w:left w:w="108" w:type="dxa"/>
        <w:bottom w:w="0" w:type="dxa"/>
        <w:right w:w="108" w:type="dxa"/>
      </w:tblCellMar>
    </w:tblPr>
    <w:tblStylePr w:type="firstRow">
      <w:pPr/>
      <w:rPr>
        <w:b/>
        <w:bCs/>
      </w:rPr>
      <w:tblPr/>
      <w:tcPr>
        <w:tcBorders>
          <w:top w:val="nil"/>
          <w:left w:val="nil"/>
          <w:bottom w:val="single" w:sz="24" w:space="0" w:color="c0504d"/>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2c4c74"/>
      </w:tcPr>
    </w:tblStylePr>
    <w:tblStylePr w:type="band1Horz">
      <w:pPr/>
      <w:tblPr/>
      <w:tcPr>
        <w:tcBorders/>
        <w:shd w:val="clear" w:color="auto" w:fill="a7bfde"/>
      </w:tcPr>
    </w:tblStylePr>
    <w:tblStylePr w:type="firstCol">
      <w:pPr/>
      <w:rPr>
        <w:color w:val="ffffff"/>
      </w:rPr>
      <w:tblPr/>
      <w:tcPr>
        <w:tcBorders>
          <w:top w:val="nil"/>
          <w:left w:val="nil"/>
          <w:bottom w:val="nil"/>
          <w:right w:val="nil"/>
          <w:insideH w:val="single" w:sz="4" w:space="0" w:color="2c4c74"/>
          <w:insideV w:val="nil"/>
        </w:tcBorders>
        <w:shd w:val="clear" w:color="auto" w:fill="2c4c74"/>
      </w:tcPr>
    </w:tblStylePr>
    <w:tblStylePr w:type="lastCol">
      <w:pPr/>
      <w:rPr>
        <w:color w:val="ffffff"/>
      </w:rPr>
      <w:tblPr/>
      <w:tcPr>
        <w:tcBorders>
          <w:top w:val="nil"/>
          <w:left w:val="nil"/>
          <w:bottom w:val="nil"/>
          <w:right w:val="nil"/>
          <w:insideH w:val="nil"/>
          <w:insideV w:val="nil"/>
        </w:tcBorders>
        <w:shd w:val="clear" w:color="auto" w:fill="2c4c74"/>
      </w:tcPr>
    </w:tblStylePr>
    <w:tblStylePr w:type="band1Vert">
      <w:pPr/>
      <w:tblPr/>
      <w:tcPr>
        <w:tcBorders/>
        <w:shd w:val="clear" w:color="auto" w:fill="b8cce4"/>
      </w:tcPr>
    </w:tblStylePr>
    <w:tblStylePr w:type="neCell">
      <w:pPr/>
      <w:rPr>
        <w:color w:val="000000"/>
      </w:rPr>
      <w:tcPr>
        <w:tcBorders/>
      </w:tcPr>
    </w:tblStylePr>
    <w:tblStylePr w:type="nwCell">
      <w:pPr/>
      <w:rPr>
        <w:color w:val="000000"/>
      </w:rPr>
      <w:tcPr>
        <w:tcBorders/>
      </w:tcPr>
    </w:tblStylePr>
    <w:tcPr>
      <w:tcBorders/>
      <w:shd w:val="clear" w:color="auto" w:fill="edf2f8"/>
    </w:tcPr>
  </w:style>
  <w:style w:type="table" w:styleId="style201">
    <w:name w:val="Colorful Shading Accent 2"/>
    <w:basedOn w:val="style105"/>
    <w:next w:val="style201"/>
    <w:uiPriority w:val="71"/>
    <w:pPr>
      <w:spacing w:after="0" w:lineRule="auto" w:line="240"/>
    </w:pPr>
    <w:rPr>
      <w:color w:val="000000"/>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shd w:val="clear" w:color="auto" w:fill="f8eded"/>
      <w:tblCellMar>
        <w:top w:w="0" w:type="dxa"/>
        <w:left w:w="108" w:type="dxa"/>
        <w:bottom w:w="0" w:type="dxa"/>
        <w:right w:w="108" w:type="dxa"/>
      </w:tblCellMar>
    </w:tblPr>
    <w:tblStylePr w:type="firstRow">
      <w:pPr/>
      <w:rPr>
        <w:b/>
        <w:bCs/>
      </w:rPr>
      <w:tblPr/>
      <w:tcPr>
        <w:tcBorders>
          <w:top w:val="nil"/>
          <w:left w:val="nil"/>
          <w:bottom w:val="single" w:sz="24" w:space="0" w:color="c0504d"/>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772c2a"/>
      </w:tcPr>
    </w:tblStylePr>
    <w:tblStylePr w:type="band1Horz">
      <w:pPr/>
      <w:tblPr/>
      <w:tcPr>
        <w:tcBorders/>
        <w:shd w:val="clear" w:color="auto" w:fill="dfa7a6"/>
      </w:tcPr>
    </w:tblStylePr>
    <w:tblStylePr w:type="firstCol">
      <w:pPr/>
      <w:rPr>
        <w:color w:val="ffffff"/>
      </w:rPr>
      <w:tblPr/>
      <w:tcPr>
        <w:tcBorders>
          <w:top w:val="nil"/>
          <w:left w:val="nil"/>
          <w:bottom w:val="nil"/>
          <w:right w:val="nil"/>
          <w:insideH w:val="single" w:sz="4" w:space="0" w:color="772c2a"/>
          <w:insideV w:val="nil"/>
        </w:tcBorders>
        <w:shd w:val="clear" w:color="auto" w:fill="772c2a"/>
      </w:tcPr>
    </w:tblStylePr>
    <w:tblStylePr w:type="lastCol">
      <w:pPr/>
      <w:rPr>
        <w:color w:val="ffffff"/>
      </w:rPr>
      <w:tblPr/>
      <w:tcPr>
        <w:tcBorders>
          <w:top w:val="nil"/>
          <w:left w:val="nil"/>
          <w:bottom w:val="nil"/>
          <w:right w:val="nil"/>
          <w:insideH w:val="nil"/>
          <w:insideV w:val="nil"/>
        </w:tcBorders>
        <w:shd w:val="clear" w:color="auto" w:fill="772c2a"/>
      </w:tcPr>
    </w:tblStylePr>
    <w:tblStylePr w:type="band1Vert">
      <w:pPr/>
      <w:tblPr/>
      <w:tcPr>
        <w:tcBorders/>
        <w:shd w:val="clear" w:color="auto" w:fill="e5b8b7"/>
      </w:tcPr>
    </w:tblStylePr>
    <w:tblStylePr w:type="neCell">
      <w:pPr/>
      <w:rPr>
        <w:color w:val="000000"/>
      </w:rPr>
      <w:tcPr>
        <w:tcBorders/>
      </w:tcPr>
    </w:tblStylePr>
    <w:tblStylePr w:type="nwCell">
      <w:pPr/>
      <w:rPr>
        <w:color w:val="000000"/>
      </w:rPr>
      <w:tcPr>
        <w:tcBorders/>
      </w:tcPr>
    </w:tblStylePr>
    <w:tcPr>
      <w:tcBorders/>
      <w:shd w:val="clear" w:color="auto" w:fill="f8eded"/>
    </w:tcPr>
  </w:style>
  <w:style w:type="table" w:styleId="style215">
    <w:name w:val="Colorful Shading Accent 3"/>
    <w:basedOn w:val="style105"/>
    <w:next w:val="style215"/>
    <w:uiPriority w:val="71"/>
    <w:pPr>
      <w:spacing w:after="0" w:lineRule="auto" w:line="240"/>
    </w:pPr>
    <w:rPr>
      <w:color w:val="000000"/>
    </w:rPr>
    <w:tblPr>
      <w:tblStyleRowBandSize w:val="1"/>
      <w:tblStyleColBandSize w:val="1"/>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shd w:val="clear" w:color="auto" w:fill="f5f8ee"/>
      <w:tblCellMar>
        <w:top w:w="0" w:type="dxa"/>
        <w:left w:w="108" w:type="dxa"/>
        <w:bottom w:w="0" w:type="dxa"/>
        <w:right w:w="108" w:type="dxa"/>
      </w:tblCellMar>
    </w:tblPr>
    <w:tblStylePr w:type="firstRow">
      <w:pPr/>
      <w:rPr>
        <w:b/>
        <w:bCs/>
      </w:rPr>
      <w:tblPr/>
      <w:tcPr>
        <w:tcBorders>
          <w:top w:val="nil"/>
          <w:left w:val="nil"/>
          <w:bottom w:val="single" w:sz="24" w:space="0" w:color="8064a2"/>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5e7530"/>
      </w:tcPr>
    </w:tblStylePr>
    <w:tblStylePr w:type="band1Horz">
      <w:pPr/>
      <w:tblPr/>
      <w:tcPr>
        <w:tcBorders/>
        <w:shd w:val="clear" w:color="auto" w:fill="cdddac"/>
      </w:tcPr>
    </w:tblStylePr>
    <w:tblStylePr w:type="firstCol">
      <w:pPr/>
      <w:rPr>
        <w:color w:val="ffffff"/>
      </w:rPr>
      <w:tblPr/>
      <w:tcPr>
        <w:tcBorders>
          <w:top w:val="nil"/>
          <w:left w:val="nil"/>
          <w:bottom w:val="nil"/>
          <w:right w:val="nil"/>
          <w:insideH w:val="single" w:sz="4" w:space="0" w:color="5e7530"/>
          <w:insideV w:val="nil"/>
        </w:tcBorders>
        <w:shd w:val="clear" w:color="auto" w:fill="5e7530"/>
      </w:tcPr>
    </w:tblStylePr>
    <w:tblStylePr w:type="lastCol">
      <w:pPr/>
      <w:rPr>
        <w:color w:val="ffffff"/>
      </w:rPr>
      <w:tblPr/>
      <w:tcPr>
        <w:tcBorders>
          <w:top w:val="nil"/>
          <w:left w:val="nil"/>
          <w:bottom w:val="nil"/>
          <w:right w:val="nil"/>
          <w:insideH w:val="nil"/>
          <w:insideV w:val="nil"/>
        </w:tcBorders>
        <w:shd w:val="clear" w:color="auto" w:fill="5e7530"/>
      </w:tcPr>
    </w:tblStylePr>
    <w:tblStylePr w:type="band1Vert">
      <w:pPr/>
      <w:tblPr/>
      <w:tcPr>
        <w:tcBorders/>
        <w:shd w:val="clear" w:color="auto" w:fill="d6e3bc"/>
      </w:tcPr>
    </w:tblStylePr>
    <w:tcPr>
      <w:tcBorders/>
      <w:shd w:val="clear" w:color="auto" w:fill="f5f8ee"/>
    </w:tcPr>
  </w:style>
  <w:style w:type="table" w:styleId="style229">
    <w:name w:val="Colorful Shading Accent 4"/>
    <w:basedOn w:val="style105"/>
    <w:next w:val="style229"/>
    <w:uiPriority w:val="71"/>
    <w:pPr>
      <w:spacing w:after="0" w:lineRule="auto" w:line="240"/>
    </w:pPr>
    <w:rPr>
      <w:color w:val="000000"/>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shd w:val="clear" w:color="auto" w:fill="f2eff6"/>
      <w:tblCellMar>
        <w:top w:w="0" w:type="dxa"/>
        <w:left w:w="108" w:type="dxa"/>
        <w:bottom w:w="0" w:type="dxa"/>
        <w:right w:w="108" w:type="dxa"/>
      </w:tblCellMar>
    </w:tblPr>
    <w:tblStylePr w:type="firstRow">
      <w:pPr/>
      <w:rPr>
        <w:b/>
        <w:bCs/>
      </w:rPr>
      <w:tblPr/>
      <w:tcPr>
        <w:tcBorders>
          <w:top w:val="nil"/>
          <w:left w:val="nil"/>
          <w:bottom w:val="single" w:sz="24" w:space="0" w:color="9bbb59"/>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4c3b62"/>
      </w:tcPr>
    </w:tblStylePr>
    <w:tblStylePr w:type="band1Horz">
      <w:pPr/>
      <w:tblPr/>
      <w:tcPr>
        <w:tcBorders/>
        <w:shd w:val="clear" w:color="auto" w:fill="bfb1d0"/>
      </w:tcPr>
    </w:tblStylePr>
    <w:tblStylePr w:type="firstCol">
      <w:pPr/>
      <w:rPr>
        <w:color w:val="ffffff"/>
      </w:rPr>
      <w:tblPr/>
      <w:tcPr>
        <w:tcBorders>
          <w:top w:val="nil"/>
          <w:left w:val="nil"/>
          <w:bottom w:val="nil"/>
          <w:right w:val="nil"/>
          <w:insideH w:val="single" w:sz="4" w:space="0" w:color="4c3b62"/>
          <w:insideV w:val="nil"/>
        </w:tcBorders>
        <w:shd w:val="clear" w:color="auto" w:fill="4c3b62"/>
      </w:tcPr>
    </w:tblStylePr>
    <w:tblStylePr w:type="lastCol">
      <w:pPr/>
      <w:rPr>
        <w:color w:val="ffffff"/>
      </w:rPr>
      <w:tblPr/>
      <w:tcPr>
        <w:tcBorders>
          <w:top w:val="nil"/>
          <w:left w:val="nil"/>
          <w:bottom w:val="nil"/>
          <w:right w:val="nil"/>
          <w:insideH w:val="nil"/>
          <w:insideV w:val="nil"/>
        </w:tcBorders>
        <w:shd w:val="clear" w:color="auto" w:fill="4c3b62"/>
      </w:tcPr>
    </w:tblStylePr>
    <w:tblStylePr w:type="band1Vert">
      <w:pPr/>
      <w:tblPr/>
      <w:tcPr>
        <w:tcBorders/>
        <w:shd w:val="clear" w:color="auto" w:fill="ccc0d9"/>
      </w:tcPr>
    </w:tblStylePr>
    <w:tblStylePr w:type="neCell">
      <w:pPr/>
      <w:rPr>
        <w:color w:val="000000"/>
      </w:rPr>
      <w:tcPr>
        <w:tcBorders/>
      </w:tcPr>
    </w:tblStylePr>
    <w:tblStylePr w:type="nwCell">
      <w:pPr/>
      <w:rPr>
        <w:color w:val="000000"/>
      </w:rPr>
      <w:tcPr>
        <w:tcBorders/>
      </w:tcPr>
    </w:tblStylePr>
    <w:tcPr>
      <w:tcBorders/>
      <w:shd w:val="clear" w:color="auto" w:fill="f2eff6"/>
    </w:tcPr>
  </w:style>
  <w:style w:type="table" w:styleId="style243">
    <w:name w:val="Colorful Shading Accent 5"/>
    <w:basedOn w:val="style105"/>
    <w:next w:val="style243"/>
    <w:uiPriority w:val="71"/>
    <w:pPr>
      <w:spacing w:after="0" w:lineRule="auto" w:line="240"/>
    </w:pPr>
    <w:rPr>
      <w:color w:val="000000"/>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shd w:val="clear" w:color="auto" w:fill="edf6f9"/>
      <w:tblCellMar>
        <w:top w:w="0" w:type="dxa"/>
        <w:left w:w="108" w:type="dxa"/>
        <w:bottom w:w="0" w:type="dxa"/>
        <w:right w:w="108" w:type="dxa"/>
      </w:tblCellMar>
    </w:tblPr>
    <w:tblStylePr w:type="firstRow">
      <w:pPr/>
      <w:rPr>
        <w:b/>
        <w:bCs/>
      </w:rPr>
      <w:tblPr/>
      <w:tcPr>
        <w:tcBorders>
          <w:top w:val="nil"/>
          <w:left w:val="nil"/>
          <w:bottom w:val="single" w:sz="24" w:space="0" w:color="f79646"/>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276a7c"/>
      </w:tcPr>
    </w:tblStylePr>
    <w:tblStylePr w:type="band1Horz">
      <w:pPr/>
      <w:tblPr/>
      <w:tcPr>
        <w:tcBorders/>
        <w:shd w:val="clear" w:color="auto" w:fill="a5d5e2"/>
      </w:tcPr>
    </w:tblStylePr>
    <w:tblStylePr w:type="firstCol">
      <w:pPr/>
      <w:rPr>
        <w:color w:val="ffffff"/>
      </w:rPr>
      <w:tblPr/>
      <w:tcPr>
        <w:tcBorders>
          <w:top w:val="nil"/>
          <w:left w:val="nil"/>
          <w:bottom w:val="nil"/>
          <w:right w:val="nil"/>
          <w:insideH w:val="single" w:sz="4" w:space="0" w:color="276a7c"/>
          <w:insideV w:val="nil"/>
        </w:tcBorders>
        <w:shd w:val="clear" w:color="auto" w:fill="276a7c"/>
      </w:tcPr>
    </w:tblStylePr>
    <w:tblStylePr w:type="lastCol">
      <w:pPr/>
      <w:rPr>
        <w:color w:val="ffffff"/>
      </w:rPr>
      <w:tblPr/>
      <w:tcPr>
        <w:tcBorders>
          <w:top w:val="nil"/>
          <w:left w:val="nil"/>
          <w:bottom w:val="nil"/>
          <w:right w:val="nil"/>
          <w:insideH w:val="nil"/>
          <w:insideV w:val="nil"/>
        </w:tcBorders>
        <w:shd w:val="clear" w:color="auto" w:fill="276a7c"/>
      </w:tcPr>
    </w:tblStylePr>
    <w:tblStylePr w:type="band1Vert">
      <w:pPr/>
      <w:tblPr/>
      <w:tcPr>
        <w:tcBorders/>
        <w:shd w:val="clear" w:color="auto" w:fill="b6dde8"/>
      </w:tcPr>
    </w:tblStylePr>
    <w:tblStylePr w:type="neCell">
      <w:pPr/>
      <w:rPr>
        <w:color w:val="000000"/>
      </w:rPr>
      <w:tcPr>
        <w:tcBorders/>
      </w:tcPr>
    </w:tblStylePr>
    <w:tblStylePr w:type="nwCell">
      <w:pPr/>
      <w:rPr>
        <w:color w:val="000000"/>
      </w:rPr>
      <w:tcPr>
        <w:tcBorders/>
      </w:tcPr>
    </w:tblStylePr>
    <w:tcPr>
      <w:tcBorders/>
      <w:shd w:val="clear" w:color="auto" w:fill="edf6f9"/>
    </w:tcPr>
  </w:style>
  <w:style w:type="table" w:styleId="style257">
    <w:name w:val="Colorful Shading Accent 6"/>
    <w:basedOn w:val="style105"/>
    <w:next w:val="style257"/>
    <w:uiPriority w:val="71"/>
    <w:pPr>
      <w:spacing w:after="0" w:lineRule="auto" w:line="240"/>
    </w:pPr>
    <w:rPr>
      <w:color w:val="000000"/>
    </w:rPr>
    <w:tblPr>
      <w:tblStyleRowBandSize w:val="1"/>
      <w:tblStyleColBandSize w:val="1"/>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shd w:val="clear" w:color="auto" w:fill="fef4ec"/>
      <w:tblCellMar>
        <w:top w:w="0" w:type="dxa"/>
        <w:left w:w="108" w:type="dxa"/>
        <w:bottom w:w="0" w:type="dxa"/>
        <w:right w:w="108" w:type="dxa"/>
      </w:tblCellMar>
    </w:tblPr>
    <w:tblStylePr w:type="firstRow">
      <w:pPr/>
      <w:rPr>
        <w:b/>
        <w:bCs/>
      </w:rPr>
      <w:tblPr/>
      <w:tcPr>
        <w:tcBorders>
          <w:top w:val="nil"/>
          <w:left w:val="nil"/>
          <w:bottom w:val="single" w:sz="24" w:space="0" w:color="4bacc6"/>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b65608"/>
      </w:tcPr>
    </w:tblStylePr>
    <w:tblStylePr w:type="band1Horz">
      <w:pPr/>
      <w:tblPr/>
      <w:tcPr>
        <w:tcBorders/>
        <w:shd w:val="clear" w:color="auto" w:fill="fbcaa2"/>
      </w:tcPr>
    </w:tblStylePr>
    <w:tblStylePr w:type="firstCol">
      <w:pPr/>
      <w:rPr>
        <w:color w:val="ffffff"/>
      </w:rPr>
      <w:tblPr/>
      <w:tcPr>
        <w:tcBorders>
          <w:top w:val="nil"/>
          <w:left w:val="nil"/>
          <w:bottom w:val="nil"/>
          <w:right w:val="nil"/>
          <w:insideH w:val="single" w:sz="4" w:space="0" w:color="b65608"/>
          <w:insideV w:val="nil"/>
        </w:tcBorders>
        <w:shd w:val="clear" w:color="auto" w:fill="b65608"/>
      </w:tcPr>
    </w:tblStylePr>
    <w:tblStylePr w:type="lastCol">
      <w:pPr/>
      <w:rPr>
        <w:color w:val="ffffff"/>
      </w:rPr>
      <w:tblPr/>
      <w:tcPr>
        <w:tcBorders>
          <w:top w:val="nil"/>
          <w:left w:val="nil"/>
          <w:bottom w:val="nil"/>
          <w:right w:val="nil"/>
          <w:insideH w:val="nil"/>
          <w:insideV w:val="nil"/>
        </w:tcBorders>
        <w:shd w:val="clear" w:color="auto" w:fill="b65608"/>
      </w:tcPr>
    </w:tblStylePr>
    <w:tblStylePr w:type="band1Vert">
      <w:pPr/>
      <w:tblPr/>
      <w:tcPr>
        <w:tcBorders/>
        <w:shd w:val="clear" w:color="auto" w:fill="fbd4b4"/>
      </w:tcPr>
    </w:tblStylePr>
    <w:tblStylePr w:type="neCell">
      <w:pPr/>
      <w:rPr>
        <w:color w:val="000000"/>
      </w:rPr>
      <w:tcPr>
        <w:tcBorders/>
      </w:tcPr>
    </w:tblStylePr>
    <w:tblStylePr w:type="nwCell">
      <w:pPr/>
      <w:rPr>
        <w:color w:val="000000"/>
      </w:rPr>
      <w:tcPr>
        <w:tcBorders/>
      </w:tcPr>
    </w:tblStylePr>
    <w:tcPr>
      <w:tcBorders/>
      <w:shd w:val="clear" w:color="auto" w:fill="fef4ec"/>
    </w:tcPr>
  </w:style>
  <w:style w:type="table" w:styleId="style170">
    <w:name w:val="Colorful List"/>
    <w:basedOn w:val="style105"/>
    <w:next w:val="style170"/>
    <w:uiPriority w:val="72"/>
    <w:pPr>
      <w:spacing w:after="0" w:lineRule="auto" w:line="240"/>
    </w:pPr>
    <w:rPr>
      <w:color w:val="000000"/>
    </w:rPr>
    <w:tblPr>
      <w:tblStyleRowBandSize w:val="1"/>
      <w:tblStyleColBandSize w:val="1"/>
      <w:tblInd w:w="0" w:type="dxa"/>
      <w:shd w:val="clear" w:color="auto" w:fill="e6e6e6"/>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9e3a38"/>
      </w:tcPr>
    </w:tblStylePr>
    <w:tblStylePr w:type="lastRow">
      <w:pPr/>
      <w:rPr>
        <w:b/>
        <w:bCs/>
        <w:color w:val="9e3a38"/>
      </w:rPr>
      <w:tblPr/>
      <w:tcPr>
        <w:tcBorders>
          <w:top w:val="single" w:sz="12" w:space="0" w:color="000000"/>
        </w:tcBorders>
        <w:shd w:val="clear" w:color="auto" w:fill="ffffff"/>
      </w:tcPr>
    </w:tblStylePr>
    <w:tblStylePr w:type="band1Horz">
      <w:pPr/>
      <w:tblPr/>
      <w:tcPr>
        <w:tcBorders/>
        <w:shd w:val="clear" w:color="auto" w:fill="cccccc"/>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c0c0c0"/>
      </w:tcPr>
    </w:tblStylePr>
    <w:tcPr>
      <w:tcBorders/>
      <w:shd w:val="clear" w:color="auto" w:fill="e6e6e6"/>
    </w:tcPr>
  </w:style>
  <w:style w:type="table" w:styleId="style188">
    <w:name w:val="Colorful List Accent 1"/>
    <w:basedOn w:val="style105"/>
    <w:next w:val="style188"/>
    <w:uiPriority w:val="72"/>
    <w:pPr>
      <w:spacing w:after="0" w:lineRule="auto" w:line="240"/>
    </w:pPr>
    <w:rPr>
      <w:color w:val="000000"/>
    </w:rPr>
    <w:tblPr>
      <w:tblStyleRowBandSize w:val="1"/>
      <w:tblStyleColBandSize w:val="1"/>
      <w:tblInd w:w="0" w:type="dxa"/>
      <w:shd w:val="clear" w:color="auto" w:fill="edf2f8"/>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9e3a38"/>
      </w:tcPr>
    </w:tblStylePr>
    <w:tblStylePr w:type="lastRow">
      <w:pPr/>
      <w:rPr>
        <w:b/>
        <w:bCs/>
        <w:color w:val="9e3a38"/>
      </w:rPr>
      <w:tblPr/>
      <w:tcPr>
        <w:tcBorders>
          <w:top w:val="single" w:sz="12" w:space="0" w:color="000000"/>
        </w:tcBorders>
        <w:shd w:val="clear" w:color="auto" w:fill="ffffff"/>
      </w:tcPr>
    </w:tblStylePr>
    <w:tblStylePr w:type="band1Horz">
      <w:pPr/>
      <w:tblPr/>
      <w:tcPr>
        <w:tcBorders/>
        <w:shd w:val="clear" w:color="auto" w:fill="dbe5f1"/>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d3dfee"/>
      </w:tcPr>
    </w:tblStylePr>
    <w:tcPr>
      <w:tcBorders/>
      <w:shd w:val="clear" w:color="auto" w:fill="edf2f8"/>
    </w:tcPr>
  </w:style>
  <w:style w:type="table" w:styleId="style202">
    <w:name w:val="Colorful List Accent 2"/>
    <w:basedOn w:val="style105"/>
    <w:next w:val="style202"/>
    <w:uiPriority w:val="72"/>
    <w:pPr>
      <w:spacing w:after="0" w:lineRule="auto" w:line="240"/>
    </w:pPr>
    <w:rPr>
      <w:color w:val="000000"/>
    </w:rPr>
    <w:tblPr>
      <w:tblStyleRowBandSize w:val="1"/>
      <w:tblStyleColBandSize w:val="1"/>
      <w:tblInd w:w="0" w:type="dxa"/>
      <w:shd w:val="clear" w:color="auto" w:fill="f8eded"/>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9e3a38"/>
      </w:tcPr>
    </w:tblStylePr>
    <w:tblStylePr w:type="lastRow">
      <w:pPr/>
      <w:rPr>
        <w:b/>
        <w:bCs/>
        <w:color w:val="9e3a38"/>
      </w:rPr>
      <w:tblPr/>
      <w:tcPr>
        <w:tcBorders>
          <w:top w:val="single" w:sz="12" w:space="0" w:color="000000"/>
        </w:tcBorders>
        <w:shd w:val="clear" w:color="auto" w:fill="ffffff"/>
      </w:tcPr>
    </w:tblStylePr>
    <w:tblStylePr w:type="band1Horz">
      <w:pPr/>
      <w:tblPr/>
      <w:tcPr>
        <w:tcBorders/>
        <w:shd w:val="clear" w:color="auto" w:fill="f2dbdb"/>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efd3d2"/>
      </w:tcPr>
    </w:tblStylePr>
    <w:tcPr>
      <w:tcBorders/>
      <w:shd w:val="clear" w:color="auto" w:fill="f8eded"/>
    </w:tcPr>
  </w:style>
  <w:style w:type="table" w:styleId="style216">
    <w:name w:val="Colorful List Accent 3"/>
    <w:basedOn w:val="style105"/>
    <w:next w:val="style216"/>
    <w:uiPriority w:val="72"/>
    <w:pPr>
      <w:spacing w:after="0" w:lineRule="auto" w:line="240"/>
    </w:pPr>
    <w:rPr>
      <w:color w:val="000000"/>
    </w:rPr>
    <w:tblPr>
      <w:tblStyleRowBandSize w:val="1"/>
      <w:tblStyleColBandSize w:val="1"/>
      <w:tblInd w:w="0" w:type="dxa"/>
      <w:shd w:val="clear" w:color="auto" w:fill="f5f8ee"/>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664e82"/>
      </w:tcPr>
    </w:tblStylePr>
    <w:tblStylePr w:type="lastRow">
      <w:pPr/>
      <w:rPr>
        <w:b/>
        <w:bCs/>
        <w:color w:val="664e82"/>
      </w:rPr>
      <w:tblPr/>
      <w:tcPr>
        <w:tcBorders>
          <w:top w:val="single" w:sz="12" w:space="0" w:color="000000"/>
        </w:tcBorders>
        <w:shd w:val="clear" w:color="auto" w:fill="ffffff"/>
      </w:tcPr>
    </w:tblStylePr>
    <w:tblStylePr w:type="band1Horz">
      <w:pPr/>
      <w:tblPr/>
      <w:tcPr>
        <w:tcBorders/>
        <w:shd w:val="clear" w:color="auto" w:fill="eaf1dd"/>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e6eed5"/>
      </w:tcPr>
    </w:tblStylePr>
    <w:tcPr>
      <w:tcBorders/>
      <w:shd w:val="clear" w:color="auto" w:fill="f5f8ee"/>
    </w:tcPr>
  </w:style>
  <w:style w:type="table" w:styleId="style230">
    <w:name w:val="Colorful List Accent 4"/>
    <w:basedOn w:val="style105"/>
    <w:next w:val="style230"/>
    <w:uiPriority w:val="72"/>
    <w:pPr>
      <w:spacing w:after="0" w:lineRule="auto" w:line="240"/>
    </w:pPr>
    <w:rPr>
      <w:color w:val="000000"/>
    </w:rPr>
    <w:tblPr>
      <w:tblStyleRowBandSize w:val="1"/>
      <w:tblStyleColBandSize w:val="1"/>
      <w:tblInd w:w="0" w:type="dxa"/>
      <w:shd w:val="clear" w:color="auto" w:fill="f2eff6"/>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7e9c40"/>
      </w:tcPr>
    </w:tblStylePr>
    <w:tblStylePr w:type="lastRow">
      <w:pPr/>
      <w:rPr>
        <w:b/>
        <w:bCs/>
        <w:color w:val="7e9c40"/>
      </w:rPr>
      <w:tblPr/>
      <w:tcPr>
        <w:tcBorders>
          <w:top w:val="single" w:sz="12" w:space="0" w:color="000000"/>
        </w:tcBorders>
        <w:shd w:val="clear" w:color="auto" w:fill="ffffff"/>
      </w:tcPr>
    </w:tblStylePr>
    <w:tblStylePr w:type="band1Horz">
      <w:pPr/>
      <w:tblPr/>
      <w:tcPr>
        <w:tcBorders/>
        <w:shd w:val="clear" w:color="auto" w:fill="e5dfec"/>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dfd8e8"/>
      </w:tcPr>
    </w:tblStylePr>
    <w:tcPr>
      <w:tcBorders/>
      <w:shd w:val="clear" w:color="auto" w:fill="f2eff6"/>
    </w:tcPr>
  </w:style>
  <w:style w:type="table" w:styleId="style244">
    <w:name w:val="Colorful List Accent 5"/>
    <w:basedOn w:val="style105"/>
    <w:next w:val="style244"/>
    <w:uiPriority w:val="72"/>
    <w:pPr>
      <w:spacing w:after="0" w:lineRule="auto" w:line="240"/>
    </w:pPr>
    <w:rPr>
      <w:color w:val="000000"/>
    </w:rPr>
    <w:tblPr>
      <w:tblStyleRowBandSize w:val="1"/>
      <w:tblStyleColBandSize w:val="1"/>
      <w:tblInd w:w="0" w:type="dxa"/>
      <w:shd w:val="clear" w:color="auto" w:fill="edf6f9"/>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f2730a"/>
      </w:tcPr>
    </w:tblStylePr>
    <w:tblStylePr w:type="lastRow">
      <w:pPr/>
      <w:rPr>
        <w:b/>
        <w:bCs/>
        <w:color w:val="f2730a"/>
      </w:rPr>
      <w:tblPr/>
      <w:tcPr>
        <w:tcBorders>
          <w:top w:val="single" w:sz="12" w:space="0" w:color="000000"/>
        </w:tcBorders>
        <w:shd w:val="clear" w:color="auto" w:fill="ffffff"/>
      </w:tcPr>
    </w:tblStylePr>
    <w:tblStylePr w:type="band1Horz">
      <w:pPr/>
      <w:tblPr/>
      <w:tcPr>
        <w:tcBorders/>
        <w:shd w:val="clear" w:color="auto" w:fill="daeef3"/>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d2eaf1"/>
      </w:tcPr>
    </w:tblStylePr>
    <w:tcPr>
      <w:tcBorders/>
      <w:shd w:val="clear" w:color="auto" w:fill="edf6f9"/>
    </w:tcPr>
  </w:style>
  <w:style w:type="table" w:styleId="style258">
    <w:name w:val="Colorful List Accent 6"/>
    <w:basedOn w:val="style105"/>
    <w:next w:val="style258"/>
    <w:uiPriority w:val="72"/>
    <w:pPr>
      <w:spacing w:after="0" w:lineRule="auto" w:line="240"/>
    </w:pPr>
    <w:rPr>
      <w:color w:val="000000"/>
    </w:rPr>
    <w:tblPr>
      <w:tblStyleRowBandSize w:val="1"/>
      <w:tblStyleColBandSize w:val="1"/>
      <w:tblInd w:w="0" w:type="dxa"/>
      <w:shd w:val="clear" w:color="auto" w:fill="fef4ec"/>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348da5"/>
      </w:tcPr>
    </w:tblStylePr>
    <w:tblStylePr w:type="lastRow">
      <w:pPr/>
      <w:rPr>
        <w:b/>
        <w:bCs/>
        <w:color w:val="348da5"/>
      </w:rPr>
      <w:tblPr/>
      <w:tcPr>
        <w:tcBorders>
          <w:top w:val="single" w:sz="12" w:space="0" w:color="000000"/>
        </w:tcBorders>
        <w:shd w:val="clear" w:color="auto" w:fill="ffffff"/>
      </w:tcPr>
    </w:tblStylePr>
    <w:tblStylePr w:type="band1Horz">
      <w:pPr/>
      <w:tblPr/>
      <w:tcPr>
        <w:tcBorders/>
        <w:shd w:val="clear" w:color="auto" w:fill="fde9d9"/>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fde4d0"/>
      </w:tcPr>
    </w:tblStylePr>
    <w:tcPr>
      <w:tcBorders/>
      <w:shd w:val="clear" w:color="auto" w:fill="fef4ec"/>
    </w:tcPr>
  </w:style>
  <w:style w:type="table" w:styleId="style171">
    <w:name w:val="Colorful Grid"/>
    <w:basedOn w:val="style105"/>
    <w:next w:val="style171"/>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cccccc"/>
      <w:tblCellMar>
        <w:top w:w="0" w:type="dxa"/>
        <w:left w:w="108" w:type="dxa"/>
        <w:bottom w:w="0" w:type="dxa"/>
        <w:right w:w="108" w:type="dxa"/>
      </w:tblCellMar>
    </w:tblPr>
    <w:tblStylePr w:type="firstRow">
      <w:pPr/>
      <w:rPr>
        <w:b/>
        <w:bCs/>
      </w:rPr>
      <w:tblPr/>
      <w:tcPr>
        <w:tcBorders/>
        <w:shd w:val="clear" w:color="auto" w:fill="999999"/>
      </w:tcPr>
    </w:tblStylePr>
    <w:tblStylePr w:type="lastRow">
      <w:pPr/>
      <w:rPr>
        <w:b/>
        <w:bCs/>
        <w:color w:val="000000"/>
      </w:rPr>
      <w:tblPr/>
      <w:tcPr>
        <w:tcBorders/>
        <w:shd w:val="clear" w:color="auto" w:fill="999999"/>
      </w:tcPr>
    </w:tblStylePr>
    <w:tblStylePr w:type="band1Horz">
      <w:pPr/>
      <w:tblPr/>
      <w:tcPr>
        <w:tcBorders/>
        <w:shd w:val="clear" w:color="auto" w:fill="808080"/>
      </w:tcPr>
    </w:tblStylePr>
    <w:tblStylePr w:type="firstCol">
      <w:pPr/>
      <w:rPr>
        <w:color w:val="ffffff"/>
      </w:rPr>
      <w:tblPr/>
      <w:tcPr>
        <w:tcBorders/>
        <w:shd w:val="clear" w:color="auto" w:fill="000000"/>
      </w:tcPr>
    </w:tblStylePr>
    <w:tblStylePr w:type="lastCol">
      <w:pPr/>
      <w:rPr>
        <w:color w:val="ffffff"/>
      </w:rPr>
      <w:tblPr/>
      <w:tcPr>
        <w:tcBorders/>
        <w:shd w:val="clear" w:color="auto" w:fill="000000"/>
      </w:tcPr>
    </w:tblStylePr>
    <w:tblStylePr w:type="band1Vert">
      <w:pPr/>
      <w:tblPr/>
      <w:tcPr>
        <w:tcBorders/>
        <w:shd w:val="clear" w:color="auto" w:fill="808080"/>
      </w:tcPr>
    </w:tblStylePr>
    <w:tcPr>
      <w:tcBorders/>
      <w:shd w:val="clear" w:color="auto" w:fill="cccccc"/>
    </w:tcPr>
  </w:style>
  <w:style w:type="table" w:styleId="style189">
    <w:name w:val="Colorful Grid Accent 1"/>
    <w:basedOn w:val="style105"/>
    <w:next w:val="style189"/>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dbe5f1"/>
      <w:tblCellMar>
        <w:top w:w="0" w:type="dxa"/>
        <w:left w:w="108" w:type="dxa"/>
        <w:bottom w:w="0" w:type="dxa"/>
        <w:right w:w="108" w:type="dxa"/>
      </w:tblCellMar>
    </w:tblPr>
    <w:tblStylePr w:type="firstRow">
      <w:pPr/>
      <w:rPr>
        <w:b/>
        <w:bCs/>
      </w:rPr>
      <w:tblPr/>
      <w:tcPr>
        <w:tcBorders/>
        <w:shd w:val="clear" w:color="auto" w:fill="b8cce4"/>
      </w:tcPr>
    </w:tblStylePr>
    <w:tblStylePr w:type="lastRow">
      <w:pPr/>
      <w:rPr>
        <w:b/>
        <w:bCs/>
        <w:color w:val="000000"/>
      </w:rPr>
      <w:tblPr/>
      <w:tcPr>
        <w:tcBorders/>
        <w:shd w:val="clear" w:color="auto" w:fill="b8cce4"/>
      </w:tcPr>
    </w:tblStylePr>
    <w:tblStylePr w:type="band1Horz">
      <w:pPr/>
      <w:tblPr/>
      <w:tcPr>
        <w:tcBorders/>
        <w:shd w:val="clear" w:color="auto" w:fill="a7bfde"/>
      </w:tcPr>
    </w:tblStylePr>
    <w:tblStylePr w:type="firstCol">
      <w:pPr/>
      <w:rPr>
        <w:color w:val="ffffff"/>
      </w:rPr>
      <w:tblPr/>
      <w:tcPr>
        <w:tcBorders/>
        <w:shd w:val="clear" w:color="auto" w:fill="365f91"/>
      </w:tcPr>
    </w:tblStylePr>
    <w:tblStylePr w:type="lastCol">
      <w:pPr/>
      <w:rPr>
        <w:color w:val="ffffff"/>
      </w:rPr>
      <w:tblPr/>
      <w:tcPr>
        <w:tcBorders/>
        <w:shd w:val="clear" w:color="auto" w:fill="365f91"/>
      </w:tcPr>
    </w:tblStylePr>
    <w:tblStylePr w:type="band1Vert">
      <w:pPr/>
      <w:tblPr/>
      <w:tcPr>
        <w:tcBorders/>
        <w:shd w:val="clear" w:color="auto" w:fill="a7bfde"/>
      </w:tcPr>
    </w:tblStylePr>
    <w:tcPr>
      <w:tcBorders/>
      <w:shd w:val="clear" w:color="auto" w:fill="dbe5f1"/>
    </w:tcPr>
  </w:style>
  <w:style w:type="table" w:styleId="style203">
    <w:name w:val="Colorful Grid Accent 2"/>
    <w:basedOn w:val="style105"/>
    <w:next w:val="style203"/>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f2dbdb"/>
      <w:tblCellMar>
        <w:top w:w="0" w:type="dxa"/>
        <w:left w:w="108" w:type="dxa"/>
        <w:bottom w:w="0" w:type="dxa"/>
        <w:right w:w="108" w:type="dxa"/>
      </w:tblCellMar>
    </w:tblPr>
    <w:tblStylePr w:type="firstRow">
      <w:pPr/>
      <w:rPr>
        <w:b/>
        <w:bCs/>
      </w:rPr>
      <w:tblPr/>
      <w:tcPr>
        <w:tcBorders/>
        <w:shd w:val="clear" w:color="auto" w:fill="e5b8b7"/>
      </w:tcPr>
    </w:tblStylePr>
    <w:tblStylePr w:type="lastRow">
      <w:pPr/>
      <w:rPr>
        <w:b/>
        <w:bCs/>
        <w:color w:val="000000"/>
      </w:rPr>
      <w:tblPr/>
      <w:tcPr>
        <w:tcBorders/>
        <w:shd w:val="clear" w:color="auto" w:fill="e5b8b7"/>
      </w:tcPr>
    </w:tblStylePr>
    <w:tblStylePr w:type="band1Horz">
      <w:pPr/>
      <w:tblPr/>
      <w:tcPr>
        <w:tcBorders/>
        <w:shd w:val="clear" w:color="auto" w:fill="dfa7a6"/>
      </w:tcPr>
    </w:tblStylePr>
    <w:tblStylePr w:type="firstCol">
      <w:pPr/>
      <w:rPr>
        <w:color w:val="ffffff"/>
      </w:rPr>
      <w:tblPr/>
      <w:tcPr>
        <w:tcBorders/>
        <w:shd w:val="clear" w:color="auto" w:fill="943634"/>
      </w:tcPr>
    </w:tblStylePr>
    <w:tblStylePr w:type="lastCol">
      <w:pPr/>
      <w:rPr>
        <w:color w:val="ffffff"/>
      </w:rPr>
      <w:tblPr/>
      <w:tcPr>
        <w:tcBorders/>
        <w:shd w:val="clear" w:color="auto" w:fill="943634"/>
      </w:tcPr>
    </w:tblStylePr>
    <w:tblStylePr w:type="band1Vert">
      <w:pPr/>
      <w:tblPr/>
      <w:tcPr>
        <w:tcBorders/>
        <w:shd w:val="clear" w:color="auto" w:fill="dfa7a6"/>
      </w:tcPr>
    </w:tblStylePr>
    <w:tcPr>
      <w:tcBorders/>
      <w:shd w:val="clear" w:color="auto" w:fill="f2dbdb"/>
    </w:tcPr>
  </w:style>
  <w:style w:type="table" w:styleId="style217">
    <w:name w:val="Colorful Grid Accent 3"/>
    <w:basedOn w:val="style105"/>
    <w:next w:val="style217"/>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eaf1dd"/>
      <w:tblCellMar>
        <w:top w:w="0" w:type="dxa"/>
        <w:left w:w="108" w:type="dxa"/>
        <w:bottom w:w="0" w:type="dxa"/>
        <w:right w:w="108" w:type="dxa"/>
      </w:tblCellMar>
    </w:tblPr>
    <w:tblStylePr w:type="firstRow">
      <w:pPr/>
      <w:rPr>
        <w:b/>
        <w:bCs/>
      </w:rPr>
      <w:tblPr/>
      <w:tcPr>
        <w:tcBorders/>
        <w:shd w:val="clear" w:color="auto" w:fill="d6e3bc"/>
      </w:tcPr>
    </w:tblStylePr>
    <w:tblStylePr w:type="lastRow">
      <w:pPr/>
      <w:rPr>
        <w:b/>
        <w:bCs/>
        <w:color w:val="000000"/>
      </w:rPr>
      <w:tblPr/>
      <w:tcPr>
        <w:tcBorders/>
        <w:shd w:val="clear" w:color="auto" w:fill="d6e3bc"/>
      </w:tcPr>
    </w:tblStylePr>
    <w:tblStylePr w:type="band1Horz">
      <w:pPr/>
      <w:tblPr/>
      <w:tcPr>
        <w:tcBorders/>
        <w:shd w:val="clear" w:color="auto" w:fill="cdddac"/>
      </w:tcPr>
    </w:tblStylePr>
    <w:tblStylePr w:type="firstCol">
      <w:pPr/>
      <w:rPr>
        <w:color w:val="ffffff"/>
      </w:rPr>
      <w:tblPr/>
      <w:tcPr>
        <w:tcBorders/>
        <w:shd w:val="clear" w:color="auto" w:fill="76923c"/>
      </w:tcPr>
    </w:tblStylePr>
    <w:tblStylePr w:type="lastCol">
      <w:pPr/>
      <w:rPr>
        <w:color w:val="ffffff"/>
      </w:rPr>
      <w:tblPr/>
      <w:tcPr>
        <w:tcBorders/>
        <w:shd w:val="clear" w:color="auto" w:fill="76923c"/>
      </w:tcPr>
    </w:tblStylePr>
    <w:tblStylePr w:type="band1Vert">
      <w:pPr/>
      <w:tblPr/>
      <w:tcPr>
        <w:tcBorders/>
        <w:shd w:val="clear" w:color="auto" w:fill="cdddac"/>
      </w:tcPr>
    </w:tblStylePr>
    <w:tcPr>
      <w:tcBorders/>
      <w:shd w:val="clear" w:color="auto" w:fill="eaf1dd"/>
    </w:tcPr>
  </w:style>
  <w:style w:type="table" w:styleId="style231">
    <w:name w:val="Colorful Grid Accent 4"/>
    <w:basedOn w:val="style105"/>
    <w:next w:val="style231"/>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e5dfec"/>
      <w:tblCellMar>
        <w:top w:w="0" w:type="dxa"/>
        <w:left w:w="108" w:type="dxa"/>
        <w:bottom w:w="0" w:type="dxa"/>
        <w:right w:w="108" w:type="dxa"/>
      </w:tblCellMar>
    </w:tblPr>
    <w:tblStylePr w:type="firstRow">
      <w:pPr/>
      <w:rPr>
        <w:b/>
        <w:bCs/>
      </w:rPr>
      <w:tblPr/>
      <w:tcPr>
        <w:tcBorders/>
        <w:shd w:val="clear" w:color="auto" w:fill="ccc0d9"/>
      </w:tcPr>
    </w:tblStylePr>
    <w:tblStylePr w:type="lastRow">
      <w:pPr/>
      <w:rPr>
        <w:b/>
        <w:bCs/>
        <w:color w:val="000000"/>
      </w:rPr>
      <w:tblPr/>
      <w:tcPr>
        <w:tcBorders/>
        <w:shd w:val="clear" w:color="auto" w:fill="ccc0d9"/>
      </w:tcPr>
    </w:tblStylePr>
    <w:tblStylePr w:type="band1Horz">
      <w:pPr/>
      <w:tblPr/>
      <w:tcPr>
        <w:tcBorders/>
        <w:shd w:val="clear" w:color="auto" w:fill="bfb1d0"/>
      </w:tcPr>
    </w:tblStylePr>
    <w:tblStylePr w:type="firstCol">
      <w:pPr/>
      <w:rPr>
        <w:color w:val="ffffff"/>
      </w:rPr>
      <w:tblPr/>
      <w:tcPr>
        <w:tcBorders/>
        <w:shd w:val="clear" w:color="auto" w:fill="5f497a"/>
      </w:tcPr>
    </w:tblStylePr>
    <w:tblStylePr w:type="lastCol">
      <w:pPr/>
      <w:rPr>
        <w:color w:val="ffffff"/>
      </w:rPr>
      <w:tblPr/>
      <w:tcPr>
        <w:tcBorders/>
        <w:shd w:val="clear" w:color="auto" w:fill="5f497a"/>
      </w:tcPr>
    </w:tblStylePr>
    <w:tblStylePr w:type="band1Vert">
      <w:pPr/>
      <w:tblPr/>
      <w:tcPr>
        <w:tcBorders/>
        <w:shd w:val="clear" w:color="auto" w:fill="bfb1d0"/>
      </w:tcPr>
    </w:tblStylePr>
    <w:tcPr>
      <w:tcBorders/>
      <w:shd w:val="clear" w:color="auto" w:fill="e5dfec"/>
    </w:tcPr>
  </w:style>
  <w:style w:type="table" w:styleId="style245">
    <w:name w:val="Colorful Grid Accent 5"/>
    <w:basedOn w:val="style105"/>
    <w:next w:val="style245"/>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daeef3"/>
      <w:tblCellMar>
        <w:top w:w="0" w:type="dxa"/>
        <w:left w:w="108" w:type="dxa"/>
        <w:bottom w:w="0" w:type="dxa"/>
        <w:right w:w="108" w:type="dxa"/>
      </w:tblCellMar>
    </w:tblPr>
    <w:tblStylePr w:type="firstRow">
      <w:pPr/>
      <w:rPr>
        <w:b/>
        <w:bCs/>
      </w:rPr>
      <w:tblPr/>
      <w:tcPr>
        <w:tcBorders/>
        <w:shd w:val="clear" w:color="auto" w:fill="b6dde8"/>
      </w:tcPr>
    </w:tblStylePr>
    <w:tblStylePr w:type="lastRow">
      <w:pPr/>
      <w:rPr>
        <w:b/>
        <w:bCs/>
        <w:color w:val="000000"/>
      </w:rPr>
      <w:tblPr/>
      <w:tcPr>
        <w:tcBorders/>
        <w:shd w:val="clear" w:color="auto" w:fill="b6dde8"/>
      </w:tcPr>
    </w:tblStylePr>
    <w:tblStylePr w:type="band1Horz">
      <w:pPr/>
      <w:tblPr/>
      <w:tcPr>
        <w:tcBorders/>
        <w:shd w:val="clear" w:color="auto" w:fill="a5d5e2"/>
      </w:tcPr>
    </w:tblStylePr>
    <w:tblStylePr w:type="firstCol">
      <w:pPr/>
      <w:rPr>
        <w:color w:val="ffffff"/>
      </w:rPr>
      <w:tblPr/>
      <w:tcPr>
        <w:tcBorders/>
        <w:shd w:val="clear" w:color="auto" w:fill="31849b"/>
      </w:tcPr>
    </w:tblStylePr>
    <w:tblStylePr w:type="lastCol">
      <w:pPr/>
      <w:rPr>
        <w:color w:val="ffffff"/>
      </w:rPr>
      <w:tblPr/>
      <w:tcPr>
        <w:tcBorders/>
        <w:shd w:val="clear" w:color="auto" w:fill="31849b"/>
      </w:tcPr>
    </w:tblStylePr>
    <w:tblStylePr w:type="band1Vert">
      <w:pPr/>
      <w:tblPr/>
      <w:tcPr>
        <w:tcBorders/>
        <w:shd w:val="clear" w:color="auto" w:fill="a5d5e2"/>
      </w:tcPr>
    </w:tblStylePr>
    <w:tcPr>
      <w:tcBorders/>
      <w:shd w:val="clear" w:color="auto" w:fill="daeef3"/>
    </w:tcPr>
  </w:style>
  <w:style w:type="table" w:styleId="style259">
    <w:name w:val="Colorful Grid Accent 6"/>
    <w:basedOn w:val="style105"/>
    <w:next w:val="style259"/>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fde9d9"/>
      <w:tblCellMar>
        <w:top w:w="0" w:type="dxa"/>
        <w:left w:w="108" w:type="dxa"/>
        <w:bottom w:w="0" w:type="dxa"/>
        <w:right w:w="108" w:type="dxa"/>
      </w:tblCellMar>
    </w:tblPr>
    <w:tblStylePr w:type="firstRow">
      <w:pPr/>
      <w:rPr>
        <w:b/>
        <w:bCs/>
      </w:rPr>
      <w:tblPr/>
      <w:tcPr>
        <w:tcBorders/>
        <w:shd w:val="clear" w:color="auto" w:fill="fbd4b4"/>
      </w:tcPr>
    </w:tblStylePr>
    <w:tblStylePr w:type="lastRow">
      <w:pPr/>
      <w:rPr>
        <w:b/>
        <w:bCs/>
        <w:color w:val="000000"/>
      </w:rPr>
      <w:tblPr/>
      <w:tcPr>
        <w:tcBorders/>
        <w:shd w:val="clear" w:color="auto" w:fill="fbd4b4"/>
      </w:tcPr>
    </w:tblStylePr>
    <w:tblStylePr w:type="band1Horz">
      <w:pPr/>
      <w:tblPr/>
      <w:tcPr>
        <w:tcBorders/>
        <w:shd w:val="clear" w:color="auto" w:fill="fbcaa2"/>
      </w:tcPr>
    </w:tblStylePr>
    <w:tblStylePr w:type="firstCol">
      <w:pPr/>
      <w:rPr>
        <w:color w:val="ffffff"/>
      </w:rPr>
      <w:tblPr/>
      <w:tcPr>
        <w:tcBorders/>
        <w:shd w:val="clear" w:color="auto" w:fill="e36c0a"/>
      </w:tcPr>
    </w:tblStylePr>
    <w:tblStylePr w:type="lastCol">
      <w:pPr/>
      <w:rPr>
        <w:color w:val="ffffff"/>
      </w:rPr>
      <w:tblPr/>
      <w:tcPr>
        <w:tcBorders/>
        <w:shd w:val="clear" w:color="auto" w:fill="e36c0a"/>
      </w:tcPr>
    </w:tblStylePr>
    <w:tblStylePr w:type="band1Vert">
      <w:pPr/>
      <w:tblPr/>
      <w:tcPr>
        <w:tcBorders/>
        <w:shd w:val="clear" w:color="auto" w:fill="fbcaa2"/>
      </w:tcPr>
    </w:tblStylePr>
    <w:tcPr>
      <w:tcBorders/>
      <w:shd w:val="clear" w:color="auto" w:fill="fde9d9"/>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Words>3799</Words>
  <Pages>1</Pages>
  <Characters>25114</Characters>
  <Application>WPS Office</Application>
  <DocSecurity>0</DocSecurity>
  <Paragraphs>286</Paragraphs>
  <ScaleCrop>false</ScaleCrop>
  <LinksUpToDate>false</LinksUpToDate>
  <CharactersWithSpaces>28662</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2026-06-21T20:47:59Z</dcterms:created>
  <dc:creator>python-docx</dc:creator>
  <dc:description>generated by python-docx</dc:description>
  <lastModifiedBy>220333QAG</lastModifiedBy>
  <dcterms:modified xsi:type="dcterms:W3CDTF">2026-06-21T20:47:59Z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4d44a4432a0e4c469a5807cae4b86573</vt:lpwstr>
  </property>
</Properties>
</file>